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color w:val="333333"/>
          <w:kern w:val="0"/>
          <w:sz w:val="36"/>
          <w:szCs w:val="36"/>
          <w:shd w:val="clear" w:color="auto" w:fill="FFFFFF"/>
          <w:lang w:val="en-US" w:eastAsia="zh-CN" w:bidi="ar-SA"/>
        </w:rPr>
      </w:pPr>
      <w:r>
        <w:rPr>
          <w:rFonts w:hint="eastAsia" w:asciiTheme="majorEastAsia" w:hAnsiTheme="majorEastAsia" w:eastAsiaTheme="majorEastAsia" w:cstheme="majorEastAsia"/>
          <w:color w:val="333333"/>
          <w:kern w:val="0"/>
          <w:sz w:val="36"/>
          <w:szCs w:val="36"/>
          <w:shd w:val="clear" w:color="auto" w:fill="FFFFFF"/>
          <w:lang w:val="en-US" w:eastAsia="zh-CN" w:bidi="ar-SA"/>
        </w:rPr>
        <w:t>六安市中医院东芝Asteion四排螺旋CT保修技术参数论证征集意见表</w:t>
      </w: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w:t>
      </w:r>
      <w:bookmarkStart w:id="0" w:name="_GoBack"/>
      <w:bookmarkEnd w:id="0"/>
      <w:r>
        <w:rPr>
          <w:rFonts w:hint="eastAsia" w:ascii="仿宋" w:hAnsi="仿宋" w:eastAsia="仿宋"/>
          <w:szCs w:val="21"/>
        </w:rPr>
        <w:t>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hint="eastAsia"/>
          <w:lang w:val="en-US" w:eastAsia="zh-CN"/>
        </w:rPr>
      </w:pPr>
      <w:r>
        <w:rPr>
          <w:rFonts w:hint="eastAsia" w:ascii="仿宋" w:hAnsi="仿宋" w:eastAsia="仿宋"/>
          <w:b/>
          <w:szCs w:val="21"/>
        </w:rPr>
        <w:t>附件：配套耗材、试剂【单人次费用】及须定期更换零部件报价清单（样表【若无则标注“无”且不可删除】、可单列）</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1"/>
        <w:gridCol w:w="1080"/>
        <w:gridCol w:w="1485"/>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spacing w:beforeLines="50" w:afterLines="50" w:line="320" w:lineRule="exact"/>
              <w:jc w:val="center"/>
              <w:rPr>
                <w:rFonts w:hint="eastAsia" w:ascii="楷体" w:hAnsi="楷体" w:eastAsia="楷体" w:cs="楷体"/>
                <w:b/>
                <w:bCs/>
                <w:color w:val="333333"/>
                <w:kern w:val="0"/>
                <w:sz w:val="24"/>
                <w:szCs w:val="24"/>
                <w:shd w:val="clear" w:color="auto" w:fill="FFFFFF"/>
                <w:lang w:val="en-US" w:eastAsia="zh-CN" w:bidi="ar-SA"/>
              </w:rPr>
            </w:pPr>
            <w:r>
              <w:rPr>
                <w:rFonts w:hint="eastAsia" w:ascii="仿宋" w:hAnsi="仿宋" w:eastAsia="仿宋"/>
                <w:b/>
                <w:szCs w:val="21"/>
              </w:rPr>
              <w:t>本项目初步参数拟设置情况</w:t>
            </w:r>
          </w:p>
        </w:tc>
        <w:tc>
          <w:tcPr>
            <w:tcW w:w="1080" w:type="dxa"/>
            <w:vMerge w:val="restart"/>
            <w:vAlign w:val="top"/>
          </w:tcPr>
          <w:p>
            <w:pPr>
              <w:spacing w:beforeLines="50" w:afterLines="50" w:line="320" w:lineRule="exact"/>
              <w:jc w:val="center"/>
              <w:rPr>
                <w:rFonts w:hint="eastAsia" w:ascii="楷体" w:hAnsi="楷体" w:eastAsia="楷体" w:cs="楷体"/>
                <w:b/>
                <w:bCs/>
                <w:color w:val="333333"/>
                <w:kern w:val="0"/>
                <w:sz w:val="24"/>
                <w:szCs w:val="24"/>
                <w:shd w:val="clear" w:color="auto" w:fill="FFFFFF"/>
                <w:lang w:val="en-US" w:eastAsia="zh-CN" w:bidi="ar-SA"/>
              </w:rPr>
            </w:pPr>
            <w:r>
              <w:rPr>
                <w:rFonts w:hint="eastAsia" w:ascii="仿宋" w:hAnsi="仿宋" w:eastAsia="仿宋"/>
                <w:b/>
                <w:szCs w:val="21"/>
              </w:rPr>
              <w:t>响应情况</w:t>
            </w:r>
          </w:p>
        </w:tc>
        <w:tc>
          <w:tcPr>
            <w:tcW w:w="1485" w:type="dxa"/>
            <w:vMerge w:val="restart"/>
            <w:vAlign w:val="top"/>
          </w:tcPr>
          <w:p>
            <w:pPr>
              <w:spacing w:beforeLines="50" w:afterLines="50" w:line="320" w:lineRule="exact"/>
              <w:jc w:val="center"/>
              <w:rPr>
                <w:rFonts w:hint="eastAsia" w:ascii="楷体" w:hAnsi="楷体" w:eastAsia="楷体" w:cs="楷体"/>
                <w:b/>
                <w:bCs/>
                <w:color w:val="333333"/>
                <w:kern w:val="0"/>
                <w:sz w:val="24"/>
                <w:szCs w:val="24"/>
                <w:shd w:val="clear" w:color="auto" w:fill="FFFFFF"/>
                <w:lang w:val="en-US" w:eastAsia="zh-CN" w:bidi="ar-SA"/>
              </w:rPr>
            </w:pPr>
            <w:r>
              <w:rPr>
                <w:rFonts w:hint="eastAsia" w:ascii="仿宋" w:hAnsi="仿宋" w:eastAsia="仿宋"/>
                <w:b/>
                <w:szCs w:val="21"/>
              </w:rPr>
              <w:t>建议修改指标</w:t>
            </w:r>
          </w:p>
        </w:tc>
        <w:tc>
          <w:tcPr>
            <w:tcW w:w="1524" w:type="dxa"/>
            <w:vMerge w:val="restart"/>
            <w:vAlign w:val="top"/>
          </w:tcPr>
          <w:p>
            <w:pPr>
              <w:spacing w:beforeLines="50" w:afterLines="50" w:line="320" w:lineRule="exact"/>
              <w:jc w:val="center"/>
              <w:rPr>
                <w:rFonts w:hint="eastAsia" w:ascii="楷体" w:hAnsi="楷体" w:eastAsia="楷体" w:cs="楷体"/>
                <w:b/>
                <w:bCs/>
                <w:color w:val="333333"/>
                <w:kern w:val="0"/>
                <w:sz w:val="24"/>
                <w:szCs w:val="24"/>
                <w:shd w:val="clear" w:color="auto" w:fill="FFFFFF"/>
                <w:lang w:val="en-US" w:eastAsia="zh-CN" w:bidi="ar-SA"/>
              </w:rPr>
            </w:pPr>
            <w:r>
              <w:rPr>
                <w:rFonts w:hint="eastAsia" w:ascii="仿宋" w:hAnsi="仿宋" w:eastAsia="仿宋"/>
                <w:b/>
                <w:szCs w:val="21"/>
              </w:rPr>
              <w:t>备注（真实指标、是否独家）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tcPr>
          <w:p>
            <w:pPr>
              <w:pStyle w:val="4"/>
              <w:shd w:val="clear" w:color="auto" w:fill="FFFFFF"/>
              <w:spacing w:before="120" w:beforeLines="50" w:after="120" w:afterLines="50" w:line="320" w:lineRule="exact"/>
              <w:jc w:val="center"/>
              <w:rPr>
                <w:rFonts w:hint="eastAsia" w:ascii="楷体" w:hAnsi="楷体" w:eastAsia="楷体" w:cs="楷体"/>
                <w:color w:val="333333"/>
                <w:kern w:val="0"/>
                <w:sz w:val="24"/>
                <w:szCs w:val="24"/>
                <w:shd w:val="clear" w:color="auto" w:fill="FFFFFF"/>
                <w:lang w:val="en-US" w:eastAsia="zh-CN" w:bidi="ar-SA"/>
              </w:rPr>
            </w:pPr>
            <w:r>
              <w:rPr>
                <w:rFonts w:hint="eastAsia" w:ascii="仿宋" w:hAnsi="仿宋" w:eastAsia="仿宋" w:cs="Times New Roman"/>
                <w:b/>
                <w:kern w:val="2"/>
                <w:sz w:val="21"/>
                <w:szCs w:val="21"/>
                <w:lang w:val="en-US" w:eastAsia="zh-CN" w:bidi="ar-SA"/>
              </w:rPr>
              <w:t>参数设置</w:t>
            </w:r>
          </w:p>
        </w:tc>
        <w:tc>
          <w:tcPr>
            <w:tcW w:w="1080" w:type="dxa"/>
            <w:vMerge w:val="continue"/>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vMerge w:val="continue"/>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vMerge w:val="continue"/>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1.提供营业执照和医疗器械经营许可证复印件（服务范围包含医用X射线设备及部件），原件中标后查验。</w:t>
            </w:r>
          </w:p>
        </w:tc>
        <w:tc>
          <w:tcPr>
            <w:tcW w:w="1080"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2.投标人保证包括设备及相关软件、网络系统等在内的总开机率在95％以上，确保临床诊疗，（按1年252天计算）超过一天保修顺延7天，提供承诺函原件</w:t>
            </w:r>
          </w:p>
        </w:tc>
        <w:tc>
          <w:tcPr>
            <w:tcW w:w="1080"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3.投标人在国内设有专业、充足的设备零备件仓库，标书内必须提供产权证明或租赁合同复印件加盖公章，原件中标后查验。</w:t>
            </w:r>
          </w:p>
        </w:tc>
        <w:tc>
          <w:tcPr>
            <w:tcW w:w="1080"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4.在需要进行备件更换的情况下，须负责免费更换约定项目下损坏的所有零配件</w:t>
            </w:r>
          </w:p>
        </w:tc>
        <w:tc>
          <w:tcPr>
            <w:tcW w:w="1080" w:type="dxa"/>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p>
        </w:tc>
        <w:tc>
          <w:tcPr>
            <w:tcW w:w="1485" w:type="dxa"/>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p>
        </w:tc>
        <w:tc>
          <w:tcPr>
            <w:tcW w:w="1524" w:type="dxa"/>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5.投标人提供一年至少4次的定期维护与保养，并提供维护保养报告单，使机器满足质控等要求</w:t>
            </w:r>
          </w:p>
        </w:tc>
        <w:tc>
          <w:tcPr>
            <w:tcW w:w="1080"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6.投标人至少提供3位维修工程师的资质证件，标书内提供相关射线设备维修类培训证书复印件，原件中标后查验，并提供投标人为工程师购买的半年社保证明原件（开标截止时间前半年）</w:t>
            </w:r>
          </w:p>
        </w:tc>
        <w:tc>
          <w:tcPr>
            <w:tcW w:w="1080"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7.免费为设备的软件维护、升级、影像质量检查、运行状态检查，免费提供软件操作和维修等密码，提供承诺函原件</w:t>
            </w:r>
          </w:p>
        </w:tc>
        <w:tc>
          <w:tcPr>
            <w:tcW w:w="1080" w:type="dxa"/>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p>
        </w:tc>
        <w:tc>
          <w:tcPr>
            <w:tcW w:w="1485" w:type="dxa"/>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p>
        </w:tc>
        <w:tc>
          <w:tcPr>
            <w:tcW w:w="1524" w:type="dxa"/>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8.维保响应时间：投标公司提供随时（365*24）响应的保修电话，工程师保证在招标人报修后24小时内到达现场处理故障，提供承诺函原件</w:t>
            </w:r>
          </w:p>
        </w:tc>
        <w:tc>
          <w:tcPr>
            <w:tcW w:w="1080" w:type="dxa"/>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p>
        </w:tc>
        <w:tc>
          <w:tcPr>
            <w:tcW w:w="1485" w:type="dxa"/>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p>
        </w:tc>
        <w:tc>
          <w:tcPr>
            <w:tcW w:w="1524" w:type="dxa"/>
          </w:tcPr>
          <w:p>
            <w:pPr>
              <w:spacing w:before="120" w:beforeLines="50" w:after="120" w:afterLines="50" w:line="320" w:lineRule="exact"/>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9.投标人提供保修期内同类设备维保合同不少于5份，提供清晰的复印件加盖公章，原件中标后查验</w:t>
            </w:r>
          </w:p>
        </w:tc>
        <w:tc>
          <w:tcPr>
            <w:tcW w:w="1080"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tcPr>
          <w:p>
            <w:pPr>
              <w:pStyle w:val="4"/>
              <w:shd w:val="clear" w:color="auto" w:fill="FFFFFF"/>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10.根据院方要求，每年免费对院方的工程师或技术操作人员进行一些设备原理及故障维修方面的针对性培训，帮助工程师提高解决故障的能力，提供承诺函原件。</w:t>
            </w:r>
          </w:p>
        </w:tc>
        <w:tc>
          <w:tcPr>
            <w:tcW w:w="1080"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11.保修内容：整机保修（包括但不限于球管、探测器、诊断床、工作站主机及副台、高压发生器、配电柜及网络等）</w:t>
            </w:r>
          </w:p>
        </w:tc>
        <w:tc>
          <w:tcPr>
            <w:tcW w:w="1080"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1" w:type="dxa"/>
            <w:vAlign w:val="top"/>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r>
              <w:rPr>
                <w:rFonts w:hint="eastAsia" w:ascii="楷体" w:hAnsi="楷体" w:eastAsia="楷体" w:cs="楷体"/>
                <w:color w:val="333333"/>
                <w:kern w:val="0"/>
                <w:sz w:val="24"/>
                <w:szCs w:val="24"/>
                <w:shd w:val="clear" w:color="auto" w:fill="FFFFFF"/>
                <w:lang w:val="en-US" w:eastAsia="zh-CN" w:bidi="ar-SA"/>
              </w:rPr>
              <w:t>12.保修年限分2年、3年、5年分别报价</w:t>
            </w:r>
          </w:p>
        </w:tc>
        <w:tc>
          <w:tcPr>
            <w:tcW w:w="1080"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485"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c>
          <w:tcPr>
            <w:tcW w:w="1524" w:type="dxa"/>
          </w:tcPr>
          <w:p>
            <w:pPr>
              <w:pStyle w:val="4"/>
              <w:spacing w:before="120" w:beforeLines="50" w:after="120" w:afterLines="50" w:line="320" w:lineRule="exact"/>
              <w:jc w:val="both"/>
              <w:rPr>
                <w:rFonts w:hint="eastAsia" w:ascii="楷体" w:hAnsi="楷体" w:eastAsia="楷体" w:cs="楷体"/>
                <w:color w:val="333333"/>
                <w:kern w:val="0"/>
                <w:sz w:val="24"/>
                <w:szCs w:val="24"/>
                <w:shd w:val="clear" w:color="auto" w:fill="FFFFFF"/>
                <w:lang w:val="en-US" w:eastAsia="zh-CN" w:bidi="ar-SA"/>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chineseCountingThousand"/>
      <w:pStyle w:val="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C238A"/>
    <w:rsid w:val="346C2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numPr>
        <w:ilvl w:val="0"/>
        <w:numId w:val="1"/>
      </w:numPr>
      <w:tabs>
        <w:tab w:val="left" w:pos="1830"/>
      </w:tabs>
      <w:outlineLvl w:val="0"/>
    </w:pPr>
    <w:rPr>
      <w:rFonts w:ascii="Arial" w:hAnsi="Arial" w:eastAsia="仿宋_GB2312"/>
      <w:sz w:val="28"/>
      <w:szCs w:val="20"/>
      <w:lang w:bidi="he-IL"/>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TOC 标题1"/>
    <w:basedOn w:val="3"/>
    <w:next w:val="1"/>
    <w:qFormat/>
    <w:uiPriority w:val="39"/>
    <w:pPr>
      <w:keepLines/>
      <w:widowControl/>
      <w:tabs>
        <w:tab w:val="clear" w:pos="1830"/>
      </w:tabs>
      <w:spacing w:before="480" w:line="276" w:lineRule="auto"/>
      <w:jc w:val="left"/>
      <w:outlineLvl w:val="9"/>
    </w:pPr>
    <w:rPr>
      <w:rFonts w:ascii="Cambria" w:hAnsi="Cambria" w:eastAsia="宋体"/>
      <w:b/>
      <w:bCs/>
      <w:color w:val="365F91"/>
      <w:kern w:val="0"/>
      <w:szCs w:val="28"/>
      <w:lang w:bidi="ar-SA"/>
    </w:rPr>
  </w:style>
  <w:style w:type="paragraph" w:styleId="4">
    <w:name w:val="Normal (Web)"/>
    <w:basedOn w:val="1"/>
    <w:qFormat/>
    <w:uiPriority w:val="99"/>
    <w:pPr>
      <w:widowControl/>
      <w:jc w:val="left"/>
    </w:pPr>
    <w:rPr>
      <w:rFonts w:ascii="宋体" w:hAnsi="宋体"/>
      <w:kern w:val="0"/>
      <w:sz w:val="24"/>
    </w:rPr>
  </w:style>
  <w:style w:type="table" w:styleId="6">
    <w:name w:val="Table Grid"/>
    <w:basedOn w:val="5"/>
    <w:qFormat/>
    <w:uiPriority w:val="0"/>
    <w:pPr>
      <w:widowControl w:val="0"/>
      <w:spacing w:beforeLines="50" w:afterLines="50"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2020-11-17T00:17:00Z</dcterms:created>
  <dc:creator>今晚打老虎จุ๊บ</dc:creator>
  <cp:lastModifiedBy>今晚打老虎จุ๊บ</cp:lastModifiedBy>
  <dcterms:modified xsi:type="dcterms:W3CDTF">2020-11-17T00:19:09Z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