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eastAsia="zh-CN"/>
        </w:rPr>
        <w:t>医用冰箱</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36" w:type="dxa"/>
            <w:gridSpan w:val="2"/>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3261"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3261" w:type="dxa"/>
          </w:tcPr>
          <w:p>
            <w:pPr>
              <w:tabs>
                <w:tab w:val="left" w:pos="227"/>
              </w:tabs>
              <w:spacing w:line="320" w:lineRule="exact"/>
              <w:rPr>
                <w:rFonts w:ascii="仿宋" w:hAnsi="仿宋" w:eastAsia="仿宋"/>
                <w:szCs w:val="21"/>
              </w:rPr>
            </w:pPr>
            <w:r>
              <w:rPr>
                <w:rFonts w:hint="eastAsia" w:ascii="宋体" w:hAnsi="宋体" w:cs="仿宋_GB2312"/>
                <w:kern w:val="0"/>
                <w:sz w:val="24"/>
                <w:szCs w:val="24"/>
              </w:rPr>
              <w:t>工作条件：220V，50HZ</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3261" w:type="dxa"/>
          </w:tcPr>
          <w:p>
            <w:pPr>
              <w:tabs>
                <w:tab w:val="left" w:pos="227"/>
              </w:tabs>
              <w:spacing w:line="320" w:lineRule="exact"/>
              <w:rPr>
                <w:rFonts w:ascii="仿宋" w:hAnsi="仿宋" w:eastAsia="仿宋"/>
                <w:szCs w:val="21"/>
              </w:rPr>
            </w:pPr>
            <w:r>
              <w:rPr>
                <w:rFonts w:hint="eastAsia" w:ascii="宋体" w:hAnsi="宋体" w:cs="仿宋_GB2312"/>
                <w:kern w:val="0"/>
                <w:sz w:val="24"/>
                <w:szCs w:val="24"/>
              </w:rPr>
              <w:t>储存温度：数码温度显示，箱内温度恒定控制在2～8℃</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3261" w:type="dxa"/>
          </w:tcPr>
          <w:p>
            <w:pPr>
              <w:tabs>
                <w:tab w:val="left" w:pos="227"/>
              </w:tabs>
              <w:spacing w:line="320" w:lineRule="exact"/>
              <w:rPr>
                <w:rFonts w:ascii="仿宋" w:hAnsi="仿宋" w:eastAsia="仿宋"/>
                <w:szCs w:val="21"/>
              </w:rPr>
            </w:pPr>
            <w:r>
              <w:rPr>
                <w:rFonts w:hint="eastAsia" w:ascii="宋体" w:hAnsi="宋体" w:cs="仿宋_GB2312"/>
                <w:kern w:val="0"/>
                <w:sz w:val="24"/>
                <w:szCs w:val="24"/>
              </w:rPr>
              <w:t>箱内强制风冷系统，确保箱内温度均匀稳定</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3261" w:type="dxa"/>
          </w:tcPr>
          <w:p>
            <w:pPr>
              <w:tabs>
                <w:tab w:val="left" w:pos="227"/>
              </w:tabs>
              <w:spacing w:line="320" w:lineRule="exact"/>
              <w:rPr>
                <w:rFonts w:ascii="仿宋" w:hAnsi="仿宋" w:eastAsia="仿宋"/>
                <w:szCs w:val="21"/>
              </w:rPr>
            </w:pPr>
            <w:r>
              <w:rPr>
                <w:rFonts w:hint="eastAsia" w:ascii="宋体" w:hAnsi="宋体" w:cs="仿宋_GB2312"/>
                <w:kern w:val="0"/>
                <w:sz w:val="24"/>
                <w:szCs w:val="24"/>
              </w:rPr>
              <w:t>样式：≥</w:t>
            </w:r>
            <w:r>
              <w:rPr>
                <w:rFonts w:hint="eastAsia" w:ascii="宋体" w:hAnsi="宋体" w:cs="仿宋_GB2312"/>
                <w:kern w:val="0"/>
                <w:sz w:val="24"/>
                <w:szCs w:val="24"/>
                <w:lang w:val="en-US" w:eastAsia="zh-CN"/>
              </w:rPr>
              <w:t>300</w:t>
            </w:r>
            <w:r>
              <w:rPr>
                <w:rFonts w:hint="eastAsia" w:ascii="宋体" w:hAnsi="宋体" w:cs="仿宋_GB2312"/>
                <w:kern w:val="0"/>
                <w:sz w:val="24"/>
                <w:szCs w:val="24"/>
              </w:rPr>
              <w:t>L，双开门，底部脚轮带锁</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3261" w:type="dxa"/>
          </w:tcPr>
          <w:p>
            <w:pPr>
              <w:tabs>
                <w:tab w:val="left" w:pos="227"/>
              </w:tabs>
              <w:spacing w:line="320" w:lineRule="exact"/>
              <w:rPr>
                <w:rFonts w:ascii="仿宋" w:hAnsi="仿宋" w:eastAsia="仿宋"/>
                <w:szCs w:val="21"/>
              </w:rPr>
            </w:pPr>
            <w:r>
              <w:rPr>
                <w:rFonts w:hint="eastAsia" w:ascii="宋体" w:hAnsi="宋体" w:cs="仿宋_GB2312"/>
                <w:kern w:val="0"/>
                <w:sz w:val="24"/>
                <w:szCs w:val="24"/>
              </w:rPr>
              <w:t>搁架：不少于5层</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3261" w:type="dxa"/>
          </w:tcPr>
          <w:p>
            <w:pPr>
              <w:tabs>
                <w:tab w:val="left" w:pos="227"/>
              </w:tabs>
              <w:spacing w:line="320" w:lineRule="exact"/>
              <w:rPr>
                <w:rFonts w:ascii="仿宋" w:hAnsi="仿宋" w:eastAsia="仿宋"/>
                <w:szCs w:val="21"/>
              </w:rPr>
            </w:pPr>
            <w:r>
              <w:rPr>
                <w:rFonts w:hint="eastAsia" w:ascii="宋体" w:hAnsi="宋体" w:cs="仿宋_GB2312"/>
                <w:kern w:val="0"/>
                <w:sz w:val="24"/>
                <w:szCs w:val="24"/>
              </w:rPr>
              <w:t>压缩机：国际知名品牌，节能静音</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3261" w:type="dxa"/>
          </w:tcPr>
          <w:p>
            <w:pPr>
              <w:tabs>
                <w:tab w:val="left" w:pos="227"/>
              </w:tabs>
              <w:spacing w:line="320" w:lineRule="exact"/>
              <w:rPr>
                <w:rFonts w:hint="eastAsia" w:ascii="宋体" w:hAnsi="宋体" w:cs="仿宋_GB2312"/>
                <w:kern w:val="0"/>
                <w:sz w:val="24"/>
                <w:szCs w:val="24"/>
              </w:rPr>
            </w:pPr>
            <w:r>
              <w:rPr>
                <w:rFonts w:hint="eastAsia" w:ascii="宋体" w:hAnsi="宋体" w:cs="仿宋_GB2312"/>
                <w:kern w:val="0"/>
                <w:sz w:val="24"/>
                <w:szCs w:val="24"/>
              </w:rPr>
              <w:t>箱体内部采用高密度聚氨酯整体发泡，重量轻、保温性能好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3261" w:type="dxa"/>
          </w:tcPr>
          <w:p>
            <w:pPr>
              <w:tabs>
                <w:tab w:val="left" w:pos="227"/>
              </w:tabs>
              <w:spacing w:line="320" w:lineRule="exact"/>
              <w:rPr>
                <w:rFonts w:hint="eastAsia" w:ascii="宋体" w:hAnsi="宋体" w:cs="仿宋_GB2312"/>
                <w:kern w:val="0"/>
                <w:sz w:val="24"/>
                <w:szCs w:val="24"/>
              </w:rPr>
            </w:pPr>
            <w:r>
              <w:rPr>
                <w:rFonts w:hint="eastAsia" w:ascii="宋体" w:hAnsi="宋体" w:cs="仿宋_GB2312"/>
                <w:kern w:val="0"/>
                <w:sz w:val="24"/>
                <w:szCs w:val="24"/>
              </w:rPr>
              <w:t>精准温感探头，自动显示箱体内部温度，便于随时观察箱体内温度变化</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3261" w:type="dxa"/>
          </w:tcPr>
          <w:p>
            <w:pPr>
              <w:tabs>
                <w:tab w:val="left" w:pos="227"/>
              </w:tabs>
              <w:spacing w:line="320" w:lineRule="exact"/>
              <w:rPr>
                <w:rFonts w:hint="eastAsia" w:ascii="宋体" w:hAnsi="宋体" w:cs="仿宋_GB2312"/>
                <w:kern w:val="0"/>
                <w:sz w:val="24"/>
                <w:szCs w:val="24"/>
              </w:rPr>
            </w:pPr>
            <w:r>
              <w:rPr>
                <w:rFonts w:hint="eastAsia" w:ascii="宋体" w:hAnsi="宋体" w:cs="仿宋_GB2312"/>
                <w:kern w:val="0"/>
                <w:sz w:val="24"/>
                <w:szCs w:val="24"/>
              </w:rPr>
              <w:t>无霜冰箱设计，不需人工或者设备自动除霜</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3261" w:type="dxa"/>
          </w:tcPr>
          <w:p>
            <w:pPr>
              <w:tabs>
                <w:tab w:val="left" w:pos="227"/>
              </w:tabs>
              <w:spacing w:line="320" w:lineRule="exact"/>
              <w:rPr>
                <w:rFonts w:hint="eastAsia" w:ascii="宋体" w:hAnsi="宋体" w:cs="仿宋_GB2312"/>
                <w:kern w:val="0"/>
                <w:sz w:val="24"/>
                <w:szCs w:val="24"/>
              </w:rPr>
            </w:pPr>
            <w:r>
              <w:rPr>
                <w:rFonts w:hint="eastAsia" w:ascii="宋体" w:hAnsi="宋体" w:cs="仿宋_GB2312"/>
                <w:kern w:val="0"/>
                <w:sz w:val="24"/>
                <w:szCs w:val="24"/>
              </w:rPr>
              <w:t>内设节能照明灯，灯管优质耐用，换灯简单易操作不影响正常使用</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3261" w:type="dxa"/>
          </w:tcPr>
          <w:p>
            <w:pPr>
              <w:tabs>
                <w:tab w:val="left" w:pos="227"/>
              </w:tabs>
              <w:spacing w:line="320" w:lineRule="exact"/>
              <w:rPr>
                <w:rFonts w:hint="eastAsia" w:ascii="宋体" w:hAnsi="宋体" w:cs="仿宋_GB2312"/>
                <w:kern w:val="0"/>
                <w:sz w:val="24"/>
                <w:szCs w:val="24"/>
              </w:rPr>
            </w:pPr>
            <w:r>
              <w:rPr>
                <w:rFonts w:hint="eastAsia" w:ascii="宋体" w:hAnsi="宋体" w:cs="仿宋_GB2312"/>
                <w:kern w:val="0"/>
                <w:sz w:val="24"/>
                <w:szCs w:val="24"/>
              </w:rPr>
              <w:t>报警系统：高低温报警，断电报警，传感器故障报警</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3261" w:type="dxa"/>
          </w:tcPr>
          <w:p>
            <w:pPr>
              <w:tabs>
                <w:tab w:val="left" w:pos="227"/>
              </w:tabs>
              <w:spacing w:line="320" w:lineRule="exact"/>
              <w:rPr>
                <w:rFonts w:hint="eastAsia" w:ascii="宋体" w:hAnsi="宋体" w:cs="仿宋_GB2312"/>
                <w:kern w:val="0"/>
                <w:sz w:val="24"/>
                <w:szCs w:val="24"/>
              </w:rPr>
            </w:pPr>
            <w:r>
              <w:rPr>
                <w:rFonts w:hint="eastAsia" w:ascii="宋体" w:hAnsi="宋体" w:cs="仿宋_GB2312"/>
                <w:kern w:val="0"/>
                <w:sz w:val="24"/>
                <w:szCs w:val="24"/>
              </w:rPr>
              <w:t>报警方式：灯光闪烁报警、蜂鸣报警</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3261" w:type="dxa"/>
          </w:tcPr>
          <w:p>
            <w:pPr>
              <w:tabs>
                <w:tab w:val="left" w:pos="227"/>
              </w:tabs>
              <w:spacing w:line="320" w:lineRule="exact"/>
              <w:rPr>
                <w:rFonts w:hint="eastAsia" w:ascii="宋体" w:hAnsi="宋体" w:cs="仿宋_GB2312"/>
                <w:kern w:val="0"/>
                <w:sz w:val="24"/>
                <w:szCs w:val="24"/>
              </w:rPr>
            </w:pPr>
            <w:r>
              <w:rPr>
                <w:rFonts w:hint="eastAsia" w:ascii="宋体" w:hAnsi="宋体" w:cs="仿宋_GB2312"/>
                <w:kern w:val="0"/>
                <w:sz w:val="24"/>
                <w:szCs w:val="24"/>
              </w:rPr>
              <w:t>符合GSP标准要求</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3261" w:type="dxa"/>
          </w:tcPr>
          <w:p>
            <w:pPr>
              <w:tabs>
                <w:tab w:val="left" w:pos="227"/>
              </w:tabs>
              <w:spacing w:line="320" w:lineRule="exact"/>
              <w:rPr>
                <w:rFonts w:hint="eastAsia" w:ascii="宋体" w:hAnsi="宋体" w:cs="仿宋_GB2312"/>
                <w:kern w:val="0"/>
                <w:sz w:val="24"/>
                <w:szCs w:val="24"/>
              </w:rPr>
            </w:pPr>
            <w:r>
              <w:rPr>
                <w:rFonts w:hint="eastAsia" w:ascii="宋体" w:hAnsi="宋体" w:cs="仿宋_GB2312"/>
                <w:kern w:val="0"/>
                <w:sz w:val="24"/>
                <w:szCs w:val="24"/>
              </w:rPr>
              <w:t>具有ISO9001和ISO14001认证证书</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3261" w:type="dxa"/>
          </w:tcPr>
          <w:p>
            <w:pPr>
              <w:tabs>
                <w:tab w:val="left" w:pos="227"/>
              </w:tabs>
              <w:spacing w:line="320" w:lineRule="exact"/>
              <w:rPr>
                <w:rFonts w:hint="eastAsia" w:ascii="宋体" w:hAnsi="宋体" w:cs="仿宋_GB2312"/>
                <w:kern w:val="0"/>
                <w:sz w:val="24"/>
                <w:szCs w:val="24"/>
              </w:rPr>
            </w:pPr>
            <w:r>
              <w:rPr>
                <w:rFonts w:hint="eastAsia" w:ascii="宋体" w:hAnsi="宋体" w:cs="仿宋_GB2312"/>
                <w:kern w:val="0"/>
                <w:sz w:val="24"/>
                <w:szCs w:val="24"/>
                <w:lang w:val="en-US" w:eastAsia="zh-CN"/>
              </w:rPr>
              <w:t>可上锁</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3261" w:type="dxa"/>
          </w:tcPr>
          <w:p>
            <w:pPr>
              <w:tabs>
                <w:tab w:val="left" w:pos="227"/>
              </w:tabs>
              <w:spacing w:line="320" w:lineRule="exact"/>
              <w:rPr>
                <w:rFonts w:hint="eastAsia" w:ascii="宋体" w:hAnsi="宋体" w:cs="仿宋_GB2312"/>
                <w:kern w:val="0"/>
                <w:sz w:val="24"/>
                <w:szCs w:val="24"/>
              </w:rPr>
            </w:pPr>
            <w:r>
              <w:rPr>
                <w:rFonts w:hint="eastAsia" w:ascii="宋体" w:hAnsi="宋体" w:cs="仿宋_GB2312"/>
                <w:kern w:val="0"/>
                <w:sz w:val="24"/>
                <w:szCs w:val="24"/>
                <w:lang w:val="en-US" w:eastAsia="zh-CN"/>
              </w:rPr>
              <w:t>为了预防停电突发情况，保障冷藏药品储备要求，配备不间断电源一台，保障两台冰箱使用。</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3261" w:type="dxa"/>
          </w:tcPr>
          <w:p>
            <w:pPr>
              <w:tabs>
                <w:tab w:val="left" w:pos="227"/>
              </w:tabs>
              <w:spacing w:line="320" w:lineRule="exact"/>
              <w:rPr>
                <w:rFonts w:hint="eastAsia" w:ascii="宋体" w:hAnsi="宋体" w:cs="仿宋_GB2312"/>
                <w:kern w:val="0"/>
                <w:sz w:val="24"/>
                <w:szCs w:val="24"/>
              </w:rPr>
            </w:pPr>
            <w:r>
              <w:rPr>
                <w:rFonts w:hint="eastAsia" w:ascii="宋体" w:hAnsi="宋体"/>
                <w:sz w:val="24"/>
                <w:szCs w:val="24"/>
              </w:rPr>
              <w:t>质保要求：整机免费保修</w:t>
            </w:r>
            <w:r>
              <w:rPr>
                <w:rFonts w:hint="eastAsia" w:ascii="宋体" w:hAnsi="宋体"/>
                <w:sz w:val="24"/>
                <w:szCs w:val="24"/>
                <w:lang w:eastAsia="zh-CN"/>
              </w:rPr>
              <w:t>不少</w:t>
            </w:r>
            <w:bookmarkStart w:id="0" w:name="_GoBack"/>
            <w:bookmarkEnd w:id="0"/>
            <w:r>
              <w:rPr>
                <w:rFonts w:hint="eastAsia" w:ascii="宋体" w:hAnsi="宋体"/>
                <w:sz w:val="24"/>
                <w:szCs w:val="24"/>
                <w:lang w:eastAsia="zh-CN"/>
              </w:rPr>
              <w:t>于叁</w:t>
            </w:r>
            <w:r>
              <w:rPr>
                <w:rFonts w:hint="eastAsia" w:ascii="宋体" w:hAnsi="宋体"/>
                <w:sz w:val="24"/>
                <w:szCs w:val="24"/>
              </w:rPr>
              <w:t>年（含所有零部件，包括须定期更换零部件）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3261" w:type="dxa"/>
          </w:tcPr>
          <w:p>
            <w:pPr>
              <w:tabs>
                <w:tab w:val="left" w:pos="227"/>
              </w:tabs>
              <w:spacing w:line="320" w:lineRule="exact"/>
              <w:rPr>
                <w:rFonts w:hint="eastAsia" w:ascii="宋体" w:hAnsi="宋体" w:cs="仿宋_GB2312"/>
                <w:kern w:val="0"/>
                <w:sz w:val="24"/>
                <w:szCs w:val="24"/>
              </w:rPr>
            </w:pPr>
            <w:r>
              <w:rPr>
                <w:rFonts w:hint="eastAsia" w:ascii="宋体" w:hAnsi="宋体" w:cs="仿宋_GB2312"/>
                <w:kern w:val="0"/>
                <w:sz w:val="24"/>
                <w:szCs w:val="24"/>
              </w:rPr>
              <w:t>提供近3年同型号机型医院用户不少于5份（标书内提供清晰完整的合同复印件）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ind w:firstLine="420" w:firstLineChars="200"/>
        <w:rPr>
          <w:rFonts w:ascii="仿宋" w:hAnsi="仿宋" w:eastAsia="仿宋"/>
          <w:szCs w:val="21"/>
        </w:rPr>
      </w:pPr>
      <w:r>
        <w:rPr>
          <w:rFonts w:hint="eastAsia" w:ascii="仿宋" w:hAnsi="仿宋" w:eastAsia="仿宋"/>
          <w:szCs w:val="21"/>
        </w:rPr>
        <w:t xml:space="preserve">    配套耗材报价清单（样表，可单列且加盖公章）  </w:t>
      </w:r>
    </w:p>
    <w:tbl>
      <w:tblPr>
        <w:tblStyle w:val="5"/>
        <w:tblW w:w="101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560" w:type="dxa"/>
          </w:tcPr>
          <w:p>
            <w:pPr>
              <w:spacing w:line="280" w:lineRule="exact"/>
              <w:rPr>
                <w:rFonts w:ascii="仿宋" w:hAnsi="仿宋" w:eastAsia="仿宋"/>
                <w:szCs w:val="21"/>
              </w:rPr>
            </w:pPr>
            <w:r>
              <w:rPr>
                <w:rFonts w:hint="eastAsia" w:ascii="仿宋" w:hAnsi="仿宋" w:eastAsia="仿宋"/>
                <w:szCs w:val="21"/>
              </w:rPr>
              <w:t>耗材使用学科</w:t>
            </w:r>
          </w:p>
        </w:tc>
        <w:tc>
          <w:tcPr>
            <w:tcW w:w="992" w:type="dxa"/>
          </w:tcPr>
          <w:p>
            <w:pPr>
              <w:spacing w:line="280" w:lineRule="exact"/>
              <w:rPr>
                <w:rFonts w:ascii="仿宋" w:hAnsi="仿宋" w:eastAsia="仿宋"/>
                <w:szCs w:val="21"/>
              </w:rPr>
            </w:pPr>
            <w:r>
              <w:rPr>
                <w:rFonts w:hint="eastAsia" w:ascii="仿宋" w:hAnsi="仿宋" w:eastAsia="仿宋"/>
                <w:szCs w:val="21"/>
              </w:rPr>
              <w:t>名称</w:t>
            </w:r>
          </w:p>
        </w:tc>
        <w:tc>
          <w:tcPr>
            <w:tcW w:w="1559" w:type="dxa"/>
          </w:tcPr>
          <w:p>
            <w:pPr>
              <w:spacing w:line="280" w:lineRule="exact"/>
              <w:rPr>
                <w:rFonts w:ascii="仿宋" w:hAnsi="仿宋" w:eastAsia="仿宋"/>
                <w:szCs w:val="21"/>
              </w:rPr>
            </w:pPr>
            <w:r>
              <w:rPr>
                <w:rFonts w:hint="eastAsia" w:ascii="仿宋" w:hAnsi="仿宋" w:eastAsia="仿宋"/>
                <w:szCs w:val="21"/>
              </w:rPr>
              <w:t>品牌规格型号</w:t>
            </w:r>
          </w:p>
        </w:tc>
        <w:tc>
          <w:tcPr>
            <w:tcW w:w="1418" w:type="dxa"/>
          </w:tcPr>
          <w:p>
            <w:pPr>
              <w:spacing w:line="280" w:lineRule="exact"/>
              <w:rPr>
                <w:rFonts w:ascii="仿宋" w:hAnsi="仿宋" w:eastAsia="仿宋"/>
                <w:szCs w:val="21"/>
              </w:rPr>
            </w:pPr>
            <w:r>
              <w:rPr>
                <w:rFonts w:hint="eastAsia" w:ascii="仿宋" w:hAnsi="仿宋" w:eastAsia="仿宋"/>
                <w:szCs w:val="21"/>
              </w:rPr>
              <w:t>价格（元/个）</w:t>
            </w:r>
          </w:p>
        </w:tc>
        <w:tc>
          <w:tcPr>
            <w:tcW w:w="1134" w:type="dxa"/>
          </w:tcPr>
          <w:p>
            <w:pPr>
              <w:spacing w:line="280" w:lineRule="exact"/>
              <w:rPr>
                <w:rFonts w:ascii="仿宋" w:hAnsi="仿宋" w:eastAsia="仿宋"/>
                <w:szCs w:val="21"/>
              </w:rPr>
            </w:pPr>
            <w:r>
              <w:rPr>
                <w:rFonts w:hint="eastAsia" w:ascii="仿宋" w:hAnsi="仿宋" w:eastAsia="仿宋"/>
                <w:szCs w:val="21"/>
              </w:rPr>
              <w:t>是否开放</w:t>
            </w:r>
          </w:p>
        </w:tc>
        <w:tc>
          <w:tcPr>
            <w:tcW w:w="2795" w:type="dxa"/>
          </w:tcPr>
          <w:p>
            <w:pPr>
              <w:spacing w:line="280" w:lineRule="exact"/>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 xml:space="preserve">配套试剂【单人次费用】报价清单（样表，可单列且加盖公章）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4"/>
        <w:gridCol w:w="1193"/>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名称</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4" w:type="dxa"/>
          </w:tcPr>
          <w:p>
            <w:pPr>
              <w:spacing w:line="280" w:lineRule="exact"/>
              <w:rPr>
                <w:rFonts w:ascii="仿宋" w:hAnsi="仿宋" w:eastAsia="仿宋"/>
                <w:szCs w:val="21"/>
              </w:rPr>
            </w:pPr>
            <w:r>
              <w:rPr>
                <w:rFonts w:hint="eastAsia" w:ascii="仿宋" w:hAnsi="仿宋" w:eastAsia="仿宋"/>
                <w:szCs w:val="21"/>
              </w:rPr>
              <w:t>价格（元/个）</w:t>
            </w:r>
          </w:p>
        </w:tc>
        <w:tc>
          <w:tcPr>
            <w:tcW w:w="1193"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r>
        <w:rPr>
          <w:rFonts w:hint="eastAsia" w:ascii="仿宋" w:hAnsi="仿宋" w:eastAsia="仿宋"/>
          <w:szCs w:val="21"/>
        </w:rPr>
        <w:t xml:space="preserve"> </w:t>
      </w:r>
    </w:p>
    <w:p>
      <w:pPr>
        <w:spacing w:line="280" w:lineRule="exact"/>
        <w:ind w:firstLine="420" w:firstLineChars="200"/>
        <w:rPr>
          <w:rFonts w:ascii="仿宋" w:hAnsi="仿宋" w:eastAsia="仿宋"/>
          <w:szCs w:val="21"/>
        </w:rPr>
      </w:pPr>
      <w:r>
        <w:rPr>
          <w:rFonts w:hint="eastAsia" w:ascii="仿宋" w:hAnsi="仿宋" w:eastAsia="仿宋"/>
          <w:szCs w:val="21"/>
        </w:rPr>
        <w:t xml:space="preserve">须定期更换零部件报价清单（样表，可单列且加盖公章）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3"/>
        <w:gridCol w:w="1194"/>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须定期更换零部件</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3" w:type="dxa"/>
          </w:tcPr>
          <w:p>
            <w:pPr>
              <w:spacing w:line="280" w:lineRule="exact"/>
              <w:rPr>
                <w:rFonts w:ascii="仿宋" w:hAnsi="仿宋" w:eastAsia="仿宋"/>
                <w:szCs w:val="21"/>
              </w:rPr>
            </w:pPr>
            <w:r>
              <w:rPr>
                <w:rFonts w:hint="eastAsia" w:ascii="仿宋" w:hAnsi="仿宋" w:eastAsia="仿宋"/>
                <w:szCs w:val="21"/>
              </w:rPr>
              <w:t>价格（元/个）</w:t>
            </w:r>
          </w:p>
        </w:tc>
        <w:tc>
          <w:tcPr>
            <w:tcW w:w="1194"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9"/>
      <w:numFmt w:val="decimal"/>
      <w:pStyle w:val="9"/>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CD21D46"/>
    <w:multiLevelType w:val="singleLevel"/>
    <w:tmpl w:val="4CD21D46"/>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A1DD3"/>
    <w:rsid w:val="002A7CA5"/>
    <w:rsid w:val="002B077D"/>
    <w:rsid w:val="002C5A78"/>
    <w:rsid w:val="002D3C54"/>
    <w:rsid w:val="002E5FE9"/>
    <w:rsid w:val="002F1DC9"/>
    <w:rsid w:val="002F4594"/>
    <w:rsid w:val="002F46AF"/>
    <w:rsid w:val="003035B7"/>
    <w:rsid w:val="00305A35"/>
    <w:rsid w:val="00307C82"/>
    <w:rsid w:val="0031412D"/>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F1FF3"/>
    <w:rsid w:val="007F72EE"/>
    <w:rsid w:val="0080420A"/>
    <w:rsid w:val="008056D0"/>
    <w:rsid w:val="00811886"/>
    <w:rsid w:val="00824B71"/>
    <w:rsid w:val="00847753"/>
    <w:rsid w:val="00847A3B"/>
    <w:rsid w:val="0085631E"/>
    <w:rsid w:val="00864B32"/>
    <w:rsid w:val="00865BB3"/>
    <w:rsid w:val="00874654"/>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22245871"/>
    <w:rsid w:val="278C71BE"/>
    <w:rsid w:val="30732574"/>
    <w:rsid w:val="419F4D20"/>
    <w:rsid w:val="75C24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138</Words>
  <Characters>792</Characters>
  <Lines>6</Lines>
  <Paragraphs>1</Paragraphs>
  <TotalTime>0</TotalTime>
  <ScaleCrop>false</ScaleCrop>
  <LinksUpToDate>false</LinksUpToDate>
  <CharactersWithSpaces>929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今晚打老虎จุ๊บ</cp:lastModifiedBy>
  <dcterms:modified xsi:type="dcterms:W3CDTF">2020-11-25T03:29:26Z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