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rPr>
        <w:t>附件7</w:t>
      </w: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 xml:space="preserve"> </w:t>
      </w:r>
      <w:r>
        <w:rPr>
          <w:rFonts w:hint="eastAsia" w:hAnsi="宋体"/>
          <w:b/>
          <w:sz w:val="32"/>
          <w:szCs w:val="32"/>
          <w:u w:val="single"/>
          <w:lang w:eastAsia="zh-CN"/>
        </w:rPr>
        <w:t>正版办公软件</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w:t>
      </w:r>
      <w:r>
        <w:rPr>
          <w:rFonts w:hint="eastAsia" w:ascii="仿宋" w:hAnsi="仿宋" w:eastAsia="仿宋"/>
          <w:szCs w:val="21"/>
        </w:rPr>
        <w:sym w:font="Wingdings 2" w:char="0052"/>
      </w:r>
      <w:r>
        <w:rPr>
          <w:rFonts w:hint="eastAsia" w:ascii="仿宋" w:hAnsi="仿宋" w:eastAsia="仿宋"/>
          <w:szCs w:val="21"/>
        </w:rPr>
        <w:t>、总务科□及其他□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u w:val="single"/>
          <w:lang w:val="en-US" w:eastAsia="zh-CN"/>
        </w:rPr>
        <w:t>984430541@qq.com</w:t>
      </w:r>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967"/>
        <w:gridCol w:w="4185"/>
        <w:gridCol w:w="570"/>
        <w:gridCol w:w="615"/>
        <w:gridCol w:w="690"/>
        <w:gridCol w:w="1395"/>
        <w:gridCol w:w="9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12" w:type="dxa"/>
            <w:gridSpan w:val="5"/>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690" w:type="dxa"/>
            <w:vMerge w:val="restart"/>
          </w:tcPr>
          <w:p>
            <w:pPr>
              <w:spacing w:line="320" w:lineRule="exact"/>
              <w:jc w:val="center"/>
              <w:rPr>
                <w:rFonts w:hint="eastAsia" w:ascii="仿宋" w:hAnsi="仿宋" w:eastAsia="仿宋"/>
                <w:b/>
                <w:szCs w:val="21"/>
                <w:lang w:eastAsia="zh-CN"/>
              </w:rPr>
            </w:pPr>
            <w:r>
              <w:rPr>
                <w:rFonts w:hint="eastAsia" w:ascii="仿宋" w:hAnsi="仿宋" w:eastAsia="仿宋"/>
                <w:b/>
                <w:szCs w:val="21"/>
              </w:rPr>
              <w:t>响应</w:t>
            </w:r>
            <w:r>
              <w:rPr>
                <w:rFonts w:hint="eastAsia" w:ascii="仿宋" w:hAnsi="仿宋" w:eastAsia="仿宋"/>
                <w:b/>
                <w:szCs w:val="21"/>
                <w:lang w:eastAsia="zh-CN"/>
              </w:rPr>
              <w:t>情况及品牌、型号</w:t>
            </w:r>
          </w:p>
        </w:tc>
        <w:tc>
          <w:tcPr>
            <w:tcW w:w="1395"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934"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967"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4185"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570"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单位</w:t>
            </w:r>
          </w:p>
        </w:tc>
        <w:tc>
          <w:tcPr>
            <w:tcW w:w="615"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数量</w:t>
            </w:r>
          </w:p>
        </w:tc>
        <w:tc>
          <w:tcPr>
            <w:tcW w:w="690" w:type="dxa"/>
            <w:vMerge w:val="continue"/>
          </w:tcPr>
          <w:p>
            <w:pPr>
              <w:spacing w:line="320" w:lineRule="exact"/>
              <w:rPr>
                <w:rFonts w:ascii="仿宋" w:hAnsi="仿宋" w:eastAsia="仿宋"/>
                <w:szCs w:val="21"/>
              </w:rPr>
            </w:pPr>
          </w:p>
        </w:tc>
        <w:tc>
          <w:tcPr>
            <w:tcW w:w="1395" w:type="dxa"/>
            <w:vMerge w:val="continue"/>
          </w:tcPr>
          <w:p>
            <w:pPr>
              <w:spacing w:line="320" w:lineRule="exact"/>
              <w:rPr>
                <w:rFonts w:ascii="仿宋" w:hAnsi="仿宋" w:eastAsia="仿宋"/>
                <w:szCs w:val="21"/>
              </w:rPr>
            </w:pPr>
          </w:p>
        </w:tc>
        <w:tc>
          <w:tcPr>
            <w:tcW w:w="934"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1</w:t>
            </w:r>
          </w:p>
        </w:tc>
        <w:tc>
          <w:tcPr>
            <w:tcW w:w="967" w:type="dxa"/>
          </w:tcPr>
          <w:p>
            <w:pPr>
              <w:spacing w:line="32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正版办公软件</w:t>
            </w:r>
          </w:p>
        </w:tc>
        <w:tc>
          <w:tcPr>
            <w:tcW w:w="4185" w:type="dxa"/>
          </w:tcPr>
          <w:p>
            <w:pPr>
              <w:pStyle w:val="11"/>
              <w:numPr>
                <w:ilvl w:val="0"/>
                <w:numId w:val="2"/>
              </w:numPr>
              <w:spacing w:line="360" w:lineRule="auto"/>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窗口多组件/整合模式，支持进行单窗口多标签的拆分与组合，同时支持按文件类型进行多窗口多标签的拆分模式，且在多窗口模式下支持在系统任务栏显示多主</w:t>
            </w:r>
            <w:bookmarkStart w:id="0" w:name="_GoBack"/>
            <w:bookmarkEnd w:id="0"/>
            <w:r>
              <w:rPr>
                <w:rFonts w:hint="eastAsia" w:ascii="宋体" w:hAnsi="宋体" w:eastAsia="宋体" w:cs="宋体"/>
                <w:color w:val="000000"/>
                <w:sz w:val="21"/>
                <w:szCs w:val="21"/>
              </w:rPr>
              <w:t>窗口，可以通过ALT+TAB快捷键来回切换查看多个文档。</w:t>
            </w:r>
          </w:p>
          <w:p>
            <w:pPr>
              <w:pStyle w:val="11"/>
              <w:numPr>
                <w:ilvl w:val="0"/>
                <w:numId w:val="2"/>
              </w:numPr>
              <w:spacing w:line="360" w:lineRule="auto"/>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支持多种语言；编辑文档时可以进行文字编辑、段落、目录、书签等设置或插入文本框、图形、表格等对象；支持图文混排、文件修订、样式应用和文件处理等功能。</w:t>
            </w:r>
          </w:p>
          <w:p>
            <w:pPr>
              <w:pStyle w:val="11"/>
              <w:numPr>
                <w:ilvl w:val="0"/>
                <w:numId w:val="2"/>
              </w:numPr>
              <w:spacing w:line="360" w:lineRule="auto"/>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文字模块提供批量处理文档内容段落布局工具。提供“章节”选项卡与“章节导航”窗格，快捷的表格样式，绘制斜线表头、快速设置文档稿纸格式、自定义水印文档加上独特标记；</w:t>
            </w:r>
          </w:p>
          <w:p>
            <w:pPr>
              <w:pStyle w:val="11"/>
              <w:numPr>
                <w:ilvl w:val="0"/>
                <w:numId w:val="2"/>
              </w:numPr>
              <w:spacing w:line="360" w:lineRule="auto"/>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兼容用户单位OA办公自动化系统（兼容Microsoft Office2003、2007、2010等版本）。包含文字处理、电子表格和演示文稿；</w:t>
            </w:r>
          </w:p>
          <w:p>
            <w:pPr>
              <w:pStyle w:val="11"/>
              <w:numPr>
                <w:ilvl w:val="0"/>
                <w:numId w:val="2"/>
              </w:numPr>
              <w:spacing w:line="360" w:lineRule="auto"/>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表格模块支持共享工作薄，电子表格支持创建并兼容微软office的xls/xlsx等格式的共享工作薄，允许多人同时对电子表格进行编辑。</w:t>
            </w:r>
          </w:p>
          <w:p>
            <w:pPr>
              <w:pStyle w:val="11"/>
              <w:numPr>
                <w:ilvl w:val="0"/>
                <w:numId w:val="2"/>
              </w:numPr>
              <w:spacing w:line="360" w:lineRule="auto"/>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文件格式要求：所投办公软件能生成.wps/.et/.dps等文件格式。</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双向兼容：各功能模块与微软 Office的Word、Excel、Powerpoint 三个功能模块相互兼容，支持格式包括且不限于 doc、docx、xls、xlsx、ppt、pptx、pdf、txt、xml；同时产品自有文件格式也能被微软Office各对应模块打开；</w:t>
            </w:r>
          </w:p>
          <w:p>
            <w:pPr>
              <w:pStyle w:val="11"/>
              <w:numPr>
                <w:ilvl w:val="0"/>
                <w:numId w:val="2"/>
              </w:numPr>
              <w:spacing w:line="360" w:lineRule="auto"/>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投标产品须提供智能文档（SmartDoc）的操作，使文档制作更加智能化，支持XML解析、XML架构、XML扩展包、以及XSLT转换等4部分。</w:t>
            </w:r>
          </w:p>
          <w:p>
            <w:pPr>
              <w:pStyle w:val="11"/>
              <w:numPr>
                <w:ilvl w:val="0"/>
                <w:numId w:val="2"/>
              </w:numPr>
              <w:spacing w:line="360" w:lineRule="auto"/>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表格模块支持筛选计数功能，让用户可以直观的了解当前内容所在列中出现的次数，并支持对计数结果进行导出，提高用户数据分析的便捷性；</w:t>
            </w:r>
          </w:p>
          <w:p>
            <w:pPr>
              <w:pStyle w:val="11"/>
              <w:numPr>
                <w:ilvl w:val="0"/>
                <w:numId w:val="2"/>
              </w:numPr>
              <w:spacing w:line="360" w:lineRule="auto"/>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要求有对应的iOS和安卓移动版本,并且移动版本能正常打开PC端的文件,现场演示能兼容DOC、XLS、PPT、PDF等文件格式，演示PPT文件的同屏播放，以及和PC端办公软件进行文件移动快传的功能；</w:t>
            </w:r>
          </w:p>
          <w:p>
            <w:pPr>
              <w:pStyle w:val="11"/>
              <w:numPr>
                <w:ilvl w:val="0"/>
                <w:numId w:val="2"/>
              </w:numPr>
              <w:spacing w:line="360" w:lineRule="auto"/>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表格模块支持筛选计数功能，让用户可以直观的了解当前内容所在列中出现的次数，并支持对计数结果进行导出，提高用户数据分析的便捷性。</w:t>
            </w:r>
          </w:p>
          <w:p>
            <w:pPr>
              <w:pStyle w:val="11"/>
              <w:numPr>
                <w:ilvl w:val="0"/>
                <w:numId w:val="2"/>
              </w:numPr>
              <w:spacing w:line="360" w:lineRule="auto"/>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能够满足省版权局对招标人的正版化验收。</w:t>
            </w:r>
          </w:p>
          <w:p>
            <w:pPr>
              <w:pStyle w:val="11"/>
              <w:numPr>
                <w:ilvl w:val="0"/>
                <w:numId w:val="2"/>
              </w:numPr>
              <w:spacing w:line="360" w:lineRule="auto"/>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授权方式：年场地授权；</w:t>
            </w:r>
          </w:p>
          <w:p>
            <w:pPr>
              <w:pStyle w:val="11"/>
              <w:numPr>
                <w:ilvl w:val="0"/>
                <w:numId w:val="2"/>
              </w:numPr>
              <w:spacing w:line="360" w:lineRule="auto"/>
              <w:ind w:firstLine="0" w:firstLineChars="0"/>
              <w:rPr>
                <w:rFonts w:hint="eastAsia" w:ascii="宋体" w:hAnsi="宋体" w:eastAsia="宋体" w:cs="宋体"/>
                <w:color w:val="000000"/>
                <w:sz w:val="21"/>
                <w:szCs w:val="21"/>
              </w:rPr>
            </w:pPr>
            <w:r>
              <w:rPr>
                <w:rFonts w:hint="eastAsia" w:ascii="宋体" w:hAnsi="宋体"/>
                <w:color w:val="000000"/>
                <w:sz w:val="21"/>
                <w:szCs w:val="21"/>
              </w:rPr>
              <w:t>授权期限内，被授权单位新增电脑免费享有办公软件厂商合法授权。</w:t>
            </w:r>
          </w:p>
          <w:p>
            <w:pPr>
              <w:spacing w:line="320" w:lineRule="exact"/>
              <w:rPr>
                <w:rFonts w:hint="eastAsia" w:ascii="宋体" w:hAnsi="宋体" w:eastAsia="宋体" w:cs="宋体"/>
                <w:sz w:val="21"/>
                <w:szCs w:val="21"/>
              </w:rPr>
            </w:pPr>
          </w:p>
        </w:tc>
        <w:tc>
          <w:tcPr>
            <w:tcW w:w="57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年</w:t>
            </w:r>
          </w:p>
        </w:tc>
        <w:tc>
          <w:tcPr>
            <w:tcW w:w="61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3</w:t>
            </w:r>
          </w:p>
        </w:tc>
        <w:tc>
          <w:tcPr>
            <w:tcW w:w="690" w:type="dxa"/>
          </w:tcPr>
          <w:p>
            <w:pPr>
              <w:spacing w:line="320" w:lineRule="exact"/>
              <w:rPr>
                <w:rFonts w:ascii="仿宋" w:hAnsi="仿宋" w:eastAsia="仿宋"/>
                <w:szCs w:val="21"/>
              </w:rPr>
            </w:pPr>
          </w:p>
        </w:tc>
        <w:tc>
          <w:tcPr>
            <w:tcW w:w="1395" w:type="dxa"/>
          </w:tcPr>
          <w:p>
            <w:pPr>
              <w:spacing w:line="320" w:lineRule="exact"/>
              <w:rPr>
                <w:rFonts w:ascii="仿宋" w:hAnsi="仿宋" w:eastAsia="仿宋"/>
                <w:szCs w:val="21"/>
              </w:rPr>
            </w:pPr>
          </w:p>
        </w:tc>
        <w:tc>
          <w:tcPr>
            <w:tcW w:w="934"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rPr>
        <w:rFonts w:cs="Times New Roman"/>
      </w:rPr>
    </w:lvl>
  </w:abstractNum>
  <w:abstractNum w:abstractNumId="1">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43F0484"/>
    <w:rsid w:val="41271D4D"/>
    <w:rsid w:val="481E1CB1"/>
    <w:rsid w:val="539721D8"/>
    <w:rsid w:val="63C6387E"/>
    <w:rsid w:val="667048D8"/>
    <w:rsid w:val="69C70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 w:type="paragraph" w:customStyle="1" w:styleId="11">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7</TotalTime>
  <ScaleCrop>false</ScaleCrop>
  <LinksUpToDate>false</LinksUpToDate>
  <CharactersWithSpaces>929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时光</cp:lastModifiedBy>
  <dcterms:modified xsi:type="dcterms:W3CDTF">2021-02-01T08:14:25Z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