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宋体" w:hAnsi="宋体"/>
          <w:b/>
          <w:sz w:val="28"/>
          <w:szCs w:val="28"/>
          <w:u w:val="single"/>
        </w:rPr>
        <w:t>台式大容量中低速离心机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8"/>
        <w:gridCol w:w="886"/>
        <w:gridCol w:w="4811"/>
        <w:gridCol w:w="610"/>
        <w:gridCol w:w="1899"/>
        <w:gridCol w:w="12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bookmarkStart w:id="0" w:name="_GoBack" w:colFirst="0" w:colLast="0"/>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离心机转速：100-5500r/min</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最大相对离心力：5010Kg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最大容量：4×750ml</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定时范围：1-99min</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总功率：800W</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离心腔直径：420mm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center"/>
          </w:tcPr>
          <w:p>
            <w:pPr>
              <w:pStyle w:val="11"/>
              <w:adjustRightInd w:val="0"/>
              <w:snapToGrid w:val="0"/>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sz w:val="28"/>
                <w:szCs w:val="28"/>
              </w:rPr>
              <w:t>温度设置范围：-20--  40℃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0" w:type="auto"/>
            <w:vAlign w:val="center"/>
          </w:tcPr>
          <w:p>
            <w:pPr>
              <w:pStyle w:val="11"/>
              <w:adjustRightInd w:val="0"/>
              <w:snapToGrid w:val="0"/>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sz w:val="28"/>
                <w:szCs w:val="28"/>
              </w:rPr>
              <w:t>电源：AC220v 50Hz 10A</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0" w:type="auto"/>
            <w:vAlign w:val="center"/>
          </w:tcPr>
          <w:p>
            <w:pPr>
              <w:pStyle w:val="11"/>
              <w:adjustRightInd w:val="0"/>
              <w:snapToGrid w:val="0"/>
              <w:spacing w:line="400" w:lineRule="exact"/>
              <w:ind w:firstLine="0" w:firstLineChars="0"/>
              <w:rPr>
                <w:rFonts w:ascii="宋体" w:hAnsi="宋体"/>
                <w:sz w:val="24"/>
                <w:szCs w:val="24"/>
              </w:rPr>
            </w:pPr>
            <w:r>
              <w:rPr>
                <w:rFonts w:hint="eastAsia" w:ascii="宋体" w:hAnsi="宋体"/>
                <w:sz w:val="28"/>
                <w:szCs w:val="28"/>
              </w:rPr>
              <w:t>外形尺寸：545×468×350mm</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center"/>
          </w:tcPr>
          <w:p>
            <w:pPr>
              <w:adjustRightInd w:val="0"/>
              <w:snapToGrid w:val="0"/>
              <w:rPr>
                <w:rFonts w:ascii="宋体" w:hAnsi="宋体"/>
                <w:sz w:val="24"/>
                <w:szCs w:val="24"/>
              </w:rPr>
            </w:pPr>
            <w:r>
              <w:rPr>
                <w:rFonts w:hint="eastAsia" w:ascii="宋体" w:hAnsi="宋体"/>
                <w:sz w:val="24"/>
                <w:szCs w:val="24"/>
              </w:rPr>
              <w:t>质保要求：整机免费保修叁年（含所有零部件，包括须定期更换零部件）。</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center"/>
          </w:tcPr>
          <w:p>
            <w:pPr>
              <w:adjustRightInd w:val="0"/>
              <w:snapToGrid w:val="0"/>
              <w:rPr>
                <w:rFonts w:ascii="宋体" w:hAnsi="宋体"/>
                <w:sz w:val="24"/>
                <w:szCs w:val="24"/>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bookmarkEnd w:id="0"/>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B0F97"/>
    <w:multiLevelType w:val="singleLevel"/>
    <w:tmpl w:val="A27B0F97"/>
    <w:lvl w:ilvl="0" w:tentative="0">
      <w:start w:val="1"/>
      <w:numFmt w:val="decimal"/>
      <w:lvlText w:val="%1."/>
      <w:lvlJc w:val="left"/>
      <w:pPr>
        <w:ind w:left="425" w:hanging="425"/>
      </w:pPr>
      <w:rPr>
        <w:rFonts w:hint="default"/>
      </w:rPr>
    </w:lvl>
  </w:abstractNum>
  <w:abstractNum w:abstractNumId="1">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2245871"/>
    <w:rsid w:val="30732574"/>
    <w:rsid w:val="67A75842"/>
    <w:rsid w:val="68B4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0</TotalTime>
  <ScaleCrop>false</ScaleCrop>
  <LinksUpToDate>false</LinksUpToDate>
  <CharactersWithSpaces>929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2021-03-17T09:21:44Z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