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仿宋" w:hAnsi="仿宋" w:eastAsia="仿宋"/>
          <w:sz w:val="24"/>
          <w:szCs w:val="24"/>
        </w:rPr>
      </w:pPr>
      <w:r>
        <w:rPr>
          <w:rFonts w:hint="eastAsia" w:asciiTheme="majorEastAsia" w:hAnsiTheme="majorEastAsia" w:eastAsiaTheme="majorEastAsia"/>
          <w:b/>
          <w:sz w:val="36"/>
          <w:szCs w:val="36"/>
          <w:lang w:val="en-US" w:eastAsia="zh-CN"/>
        </w:rPr>
        <w:t xml:space="preserve">         </w:t>
      </w:r>
      <w:bookmarkStart w:id="0" w:name="_GoBack"/>
      <w:bookmarkEnd w:id="0"/>
      <w:r>
        <w:rPr>
          <w:rFonts w:hint="eastAsia" w:asciiTheme="majorEastAsia" w:hAnsiTheme="majorEastAsia" w:eastAsiaTheme="majorEastAsia"/>
          <w:b/>
          <w:sz w:val="32"/>
          <w:szCs w:val="32"/>
        </w:rPr>
        <w:t>拟购</w:t>
      </w:r>
      <w:r>
        <w:rPr>
          <w:rFonts w:hint="eastAsia"/>
          <w:b/>
          <w:bCs/>
          <w:sz w:val="28"/>
          <w:szCs w:val="28"/>
          <w:u w:val="single"/>
        </w:rPr>
        <w:t>红蓝光治疗仪</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ind w:firstLine="422" w:firstLineChars="200"/>
        <w:rPr>
          <w:rFonts w:hint="eastAsia" w:ascii="仿宋" w:hAnsi="仿宋" w:eastAsia="仿宋"/>
          <w:b/>
          <w:szCs w:val="21"/>
        </w:rPr>
      </w:pPr>
      <w:r>
        <w:rPr>
          <w:rFonts w:hint="eastAsia" w:ascii="仿宋" w:hAnsi="仿宋" w:eastAsia="仿宋"/>
          <w:b/>
          <w:szCs w:val="21"/>
        </w:rPr>
        <w:t>备注：</w:t>
      </w:r>
    </w:p>
    <w:p>
      <w:pPr>
        <w:spacing w:line="320" w:lineRule="exact"/>
        <w:ind w:firstLine="420" w:firstLineChars="200"/>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Cs w:val="21"/>
        </w:rPr>
        <w:t>）；</w:t>
      </w:r>
    </w:p>
    <w:p>
      <w:pPr>
        <w:numPr>
          <w:ilvl w:val="0"/>
          <w:numId w:val="0"/>
        </w:numPr>
        <w:spacing w:line="320" w:lineRule="exact"/>
        <w:ind w:firstLine="420" w:firstLineChars="200"/>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响应情况（是/否）若为否则继续填写具体建议修改</w:t>
      </w:r>
      <w:r>
        <w:rPr>
          <w:rFonts w:hint="eastAsia" w:ascii="仿宋" w:hAnsi="仿宋" w:eastAsia="仿宋"/>
          <w:szCs w:val="21"/>
          <w:lang w:eastAsia="zh-CN"/>
        </w:rPr>
        <w:t>意见</w:t>
      </w:r>
      <w:r>
        <w:rPr>
          <w:rFonts w:hint="eastAsia" w:ascii="仿宋" w:hAnsi="仿宋" w:eastAsia="仿宋"/>
          <w:szCs w:val="21"/>
        </w:rPr>
        <w:t>，建议修改</w:t>
      </w:r>
      <w:r>
        <w:rPr>
          <w:rFonts w:hint="eastAsia" w:ascii="仿宋" w:hAnsi="仿宋" w:eastAsia="仿宋"/>
          <w:szCs w:val="21"/>
          <w:lang w:eastAsia="zh-CN"/>
        </w:rPr>
        <w:t>意见</w:t>
      </w:r>
      <w:r>
        <w:rPr>
          <w:rFonts w:hint="eastAsia" w:ascii="仿宋" w:hAnsi="仿宋" w:eastAsia="仿宋"/>
          <w:szCs w:val="21"/>
        </w:rPr>
        <w:t>须</w:t>
      </w:r>
      <w:r>
        <w:rPr>
          <w:rFonts w:hint="eastAsia" w:ascii="仿宋" w:hAnsi="仿宋" w:eastAsia="仿宋"/>
          <w:szCs w:val="21"/>
          <w:lang w:eastAsia="zh-CN"/>
        </w:rPr>
        <w:t>提供相应证明材料</w:t>
      </w:r>
      <w:r>
        <w:rPr>
          <w:rFonts w:hint="eastAsia" w:ascii="仿宋" w:hAnsi="仿宋" w:eastAsia="仿宋"/>
          <w:szCs w:val="21"/>
        </w:rPr>
        <w:t>（</w:t>
      </w:r>
      <w:r>
        <w:rPr>
          <w:rFonts w:hint="eastAsia" w:ascii="仿宋" w:hAnsi="仿宋" w:eastAsia="仿宋"/>
          <w:szCs w:val="21"/>
          <w:lang w:eastAsia="zh-CN"/>
        </w:rPr>
        <w:t>证明材料须为政府主管部门及其下属机构出具的检测报告，无证明材料则不予采纳；建议修改意见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numPr>
          <w:ilvl w:val="0"/>
          <w:numId w:val="1"/>
        </w:numPr>
        <w:spacing w:line="320" w:lineRule="exact"/>
        <w:ind w:firstLine="420" w:firstLineChars="200"/>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numPr>
          <w:ilvl w:val="0"/>
          <w:numId w:val="0"/>
        </w:numPr>
        <w:spacing w:line="320" w:lineRule="exact"/>
        <w:ind w:firstLine="422" w:firstLineChars="200"/>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4"/>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134"/>
        <w:gridCol w:w="3261"/>
        <w:gridCol w:w="708"/>
        <w:gridCol w:w="2694"/>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70"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08"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2694"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559"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1134"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3261" w:type="dxa"/>
          </w:tcPr>
          <w:p>
            <w:pPr>
              <w:spacing w:line="320" w:lineRule="exact"/>
              <w:jc w:val="center"/>
              <w:rPr>
                <w:rFonts w:hint="eastAsia" w:ascii="仿宋" w:hAnsi="仿宋" w:eastAsia="仿宋"/>
                <w:b/>
                <w:szCs w:val="21"/>
                <w:lang w:eastAsia="zh-CN"/>
              </w:rPr>
            </w:pPr>
            <w:r>
              <w:rPr>
                <w:rFonts w:hint="eastAsia" w:ascii="仿宋" w:hAnsi="仿宋" w:eastAsia="仿宋"/>
                <w:b/>
                <w:szCs w:val="21"/>
                <w:lang w:eastAsia="zh-CN"/>
              </w:rPr>
              <w:t>初步</w:t>
            </w:r>
            <w:r>
              <w:rPr>
                <w:rFonts w:hint="eastAsia" w:ascii="仿宋" w:hAnsi="仿宋" w:eastAsia="仿宋"/>
                <w:b/>
                <w:szCs w:val="21"/>
              </w:rPr>
              <w:t>参数</w:t>
            </w:r>
            <w:r>
              <w:rPr>
                <w:rFonts w:hint="eastAsia" w:ascii="仿宋" w:hAnsi="仿宋" w:eastAsia="仿宋"/>
                <w:b/>
                <w:szCs w:val="21"/>
                <w:lang w:eastAsia="zh-CN"/>
              </w:rPr>
              <w:t>设置情况</w:t>
            </w:r>
          </w:p>
        </w:tc>
        <w:tc>
          <w:tcPr>
            <w:tcW w:w="708" w:type="dxa"/>
            <w:vMerge w:val="continue"/>
          </w:tcPr>
          <w:p>
            <w:pPr>
              <w:spacing w:line="320" w:lineRule="exact"/>
              <w:rPr>
                <w:rFonts w:ascii="仿宋" w:hAnsi="仿宋" w:eastAsia="仿宋"/>
                <w:szCs w:val="21"/>
              </w:rPr>
            </w:pPr>
          </w:p>
        </w:tc>
        <w:tc>
          <w:tcPr>
            <w:tcW w:w="2694" w:type="dxa"/>
            <w:vMerge w:val="continue"/>
          </w:tcPr>
          <w:p>
            <w:pPr>
              <w:spacing w:line="320" w:lineRule="exact"/>
              <w:rPr>
                <w:rFonts w:ascii="仿宋" w:hAnsi="仿宋" w:eastAsia="仿宋"/>
                <w:szCs w:val="21"/>
              </w:rPr>
            </w:pPr>
          </w:p>
        </w:tc>
        <w:tc>
          <w:tcPr>
            <w:tcW w:w="1559"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numPr>
                <w:ilvl w:val="0"/>
                <w:numId w:val="2"/>
              </w:numPr>
              <w:spacing w:before="100" w:beforeAutospacing="1" w:after="100" w:afterAutospacing="1" w:line="320" w:lineRule="exact"/>
              <w:jc w:val="left"/>
              <w:rPr>
                <w:rFonts w:ascii="仿宋" w:hAnsi="仿宋" w:eastAsia="仿宋"/>
                <w:szCs w:val="21"/>
              </w:rPr>
            </w:pPr>
            <w:r>
              <w:rPr>
                <w:rFonts w:hint="eastAsia" w:ascii="宋体" w:hAnsi="宋体" w:eastAsia="宋体" w:cs="宋体"/>
                <w:b/>
                <w:bCs/>
                <w:kern w:val="0"/>
                <w:sz w:val="24"/>
              </w:rPr>
              <w:t>技术参数：</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spacing w:before="100" w:beforeAutospacing="1" w:after="100" w:afterAutospacing="1" w:line="320" w:lineRule="exact"/>
              <w:rPr>
                <w:rFonts w:ascii="仿宋" w:hAnsi="仿宋" w:eastAsia="仿宋"/>
                <w:szCs w:val="21"/>
              </w:rPr>
            </w:pPr>
            <w:r>
              <w:rPr>
                <w:rFonts w:hint="eastAsia" w:ascii="宋体" w:hAnsi="宋体" w:eastAsia="宋体" w:cs="宋体"/>
                <w:kern w:val="0"/>
                <w:sz w:val="24"/>
              </w:rPr>
              <w:t>该产品主要适用于消炎、镇痛、促进血液循环、加速伤口愈合，及对痤疮的辅助治疗。</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numPr>
                <w:numId w:val="0"/>
              </w:numPr>
              <w:spacing w:before="100" w:beforeAutospacing="1" w:after="100" w:afterAutospacing="1" w:line="320" w:lineRule="exact"/>
              <w:jc w:val="left"/>
              <w:rPr>
                <w:rFonts w:ascii="仿宋" w:hAnsi="仿宋" w:eastAsia="仿宋"/>
                <w:szCs w:val="21"/>
              </w:rPr>
            </w:pPr>
            <w:r>
              <w:rPr>
                <w:rFonts w:hint="eastAsia" w:ascii="宋体" w:hAnsi="宋体" w:cs="宋体"/>
                <w:sz w:val="24"/>
              </w:rPr>
              <w:t>光源聚光设计：菲涅尔聚光技术；</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numPr>
                <w:numId w:val="0"/>
              </w:numPr>
              <w:spacing w:before="100" w:beforeAutospacing="1" w:after="100" w:afterAutospacing="1" w:line="320" w:lineRule="exact"/>
              <w:jc w:val="left"/>
              <w:rPr>
                <w:rFonts w:ascii="仿宋" w:hAnsi="仿宋" w:eastAsia="仿宋"/>
                <w:szCs w:val="21"/>
              </w:rPr>
            </w:pPr>
            <w:r>
              <w:rPr>
                <w:rFonts w:hint="eastAsia" w:ascii="宋体" w:hAnsi="宋体" w:eastAsia="宋体" w:cs="宋体"/>
                <w:sz w:val="24"/>
              </w:rPr>
              <w:t>半导体固态光源（点阵集成式芯片）；</w:t>
            </w:r>
            <w:r>
              <w:rPr>
                <w:rFonts w:hint="eastAsia" w:ascii="宋体" w:hAnsi="宋体" w:cs="宋体"/>
                <w:sz w:val="24"/>
              </w:rPr>
              <w:t>光功率密度≥1200mw/cm²；</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numPr>
                <w:numId w:val="0"/>
              </w:numPr>
              <w:spacing w:before="100" w:beforeAutospacing="1" w:after="100" w:afterAutospacing="1" w:line="320" w:lineRule="exact"/>
              <w:jc w:val="left"/>
              <w:rPr>
                <w:rFonts w:ascii="仿宋" w:hAnsi="仿宋" w:eastAsia="仿宋"/>
                <w:szCs w:val="21"/>
              </w:rPr>
            </w:pPr>
            <w:r>
              <w:rPr>
                <w:rFonts w:hint="eastAsia" w:ascii="宋体" w:hAnsi="宋体" w:eastAsia="宋体" w:cs="宋体"/>
                <w:sz w:val="24"/>
              </w:rPr>
              <w:t>红光中心波长为：625±10nm；蓝光中心波长为：465±10nm；(附食品药品监督管理局检测报告证明材料)</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numPr>
                <w:numId w:val="0"/>
              </w:numPr>
              <w:spacing w:before="100" w:beforeAutospacing="1" w:after="100" w:afterAutospacing="1" w:line="320" w:lineRule="exact"/>
              <w:jc w:val="left"/>
              <w:rPr>
                <w:rFonts w:ascii="仿宋" w:hAnsi="仿宋" w:eastAsia="仿宋"/>
                <w:szCs w:val="21"/>
              </w:rPr>
            </w:pPr>
            <w:r>
              <w:rPr>
                <w:rFonts w:hint="eastAsia" w:ascii="宋体" w:hAnsi="宋体" w:eastAsia="宋体" w:cs="宋体"/>
                <w:sz w:val="24"/>
              </w:rPr>
              <w:t>功率调节方式，1~5级能量可调；</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numPr>
                <w:numId w:val="0"/>
              </w:numPr>
              <w:spacing w:before="100" w:beforeAutospacing="1" w:after="100" w:afterAutospacing="1" w:line="320" w:lineRule="exact"/>
              <w:jc w:val="left"/>
              <w:rPr>
                <w:rFonts w:ascii="仿宋" w:hAnsi="仿宋" w:eastAsia="仿宋"/>
                <w:szCs w:val="21"/>
              </w:rPr>
            </w:pPr>
            <w:r>
              <w:rPr>
                <w:rFonts w:hint="eastAsia" w:ascii="宋体" w:hAnsi="宋体" w:eastAsia="宋体" w:cs="宋体"/>
                <w:sz w:val="24"/>
              </w:rPr>
              <w:t>治疗头温度，仪器在正常工作时，治疗头外壳表面温度不超过41℃；(附食品药品监督管理局检测报告证明材料)</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numPr>
                <w:numId w:val="0"/>
              </w:numPr>
              <w:spacing w:before="100" w:beforeAutospacing="1" w:after="100" w:afterAutospacing="1" w:line="320" w:lineRule="exact"/>
              <w:jc w:val="left"/>
              <w:rPr>
                <w:rFonts w:ascii="仿宋" w:hAnsi="仿宋" w:eastAsia="仿宋"/>
                <w:szCs w:val="21"/>
              </w:rPr>
            </w:pPr>
            <w:r>
              <w:rPr>
                <w:rFonts w:hint="eastAsia" w:ascii="宋体" w:hAnsi="宋体" w:eastAsia="宋体" w:cs="宋体"/>
                <w:sz w:val="24"/>
              </w:rPr>
              <w:t>光源稳定工作后，其光功率变化率为±1%；(附食品药品监督管理局检测报告证明材料)</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numPr>
                <w:numId w:val="0"/>
              </w:numPr>
              <w:spacing w:before="100" w:beforeAutospacing="1" w:after="100" w:afterAutospacing="1" w:line="320" w:lineRule="exact"/>
              <w:jc w:val="left"/>
              <w:rPr>
                <w:rFonts w:ascii="仿宋" w:hAnsi="仿宋" w:eastAsia="仿宋"/>
                <w:szCs w:val="21"/>
              </w:rPr>
            </w:pPr>
            <w:r>
              <w:rPr>
                <w:rFonts w:hint="eastAsia" w:ascii="宋体" w:hAnsi="宋体" w:eastAsia="宋体" w:cs="宋体"/>
                <w:sz w:val="24"/>
              </w:rPr>
              <w:t>光源稳定工作后，有效红光辐照度的均匀性＞0.4；(附食品药品监督管理局检测报告证明材料)</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numPr>
                <w:numId w:val="0"/>
              </w:numPr>
              <w:shd w:val="clear" w:color="auto" w:fill="FFFFFF"/>
              <w:kinsoku/>
              <w:wordWrap/>
              <w:overflowPunct/>
              <w:topLinePunct w:val="0"/>
              <w:autoSpaceDE/>
              <w:autoSpaceDN/>
              <w:bidi w:val="0"/>
              <w:adjustRightInd/>
              <w:snapToGrid/>
              <w:spacing w:before="100" w:beforeAutospacing="1" w:after="100" w:afterAutospacing="1" w:line="360" w:lineRule="auto"/>
              <w:ind w:leftChars="0"/>
              <w:jc w:val="left"/>
              <w:textAlignment w:val="auto"/>
              <w:outlineLvl w:val="9"/>
              <w:rPr>
                <w:rFonts w:ascii="仿宋" w:hAnsi="仿宋" w:eastAsia="仿宋"/>
                <w:szCs w:val="21"/>
              </w:rPr>
            </w:pPr>
            <w:r>
              <w:rPr>
                <w:rFonts w:hint="eastAsia" w:ascii="宋体" w:hAnsi="宋体" w:cs="宋体"/>
                <w:sz w:val="24"/>
              </w:rPr>
              <w:t>定时设置，</w:t>
            </w:r>
            <w:r>
              <w:rPr>
                <w:rFonts w:hint="eastAsia" w:ascii="宋体" w:hAnsi="宋体" w:eastAsia="宋体" w:cs="宋体"/>
                <w:sz w:val="24"/>
              </w:rPr>
              <w:t>0～99 分钟连续可调；</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numPr>
                <w:numId w:val="0"/>
              </w:numPr>
              <w:shd w:val="clear" w:color="auto" w:fill="FFFFFF"/>
              <w:kinsoku/>
              <w:wordWrap/>
              <w:overflowPunct/>
              <w:topLinePunct w:val="0"/>
              <w:autoSpaceDE/>
              <w:autoSpaceDN/>
              <w:bidi w:val="0"/>
              <w:adjustRightInd/>
              <w:snapToGrid/>
              <w:spacing w:before="100" w:beforeAutospacing="1" w:after="100" w:afterAutospacing="1" w:line="360" w:lineRule="auto"/>
              <w:jc w:val="left"/>
              <w:textAlignment w:val="auto"/>
              <w:outlineLvl w:val="9"/>
              <w:rPr>
                <w:rFonts w:ascii="仿宋" w:hAnsi="仿宋" w:eastAsia="仿宋"/>
                <w:szCs w:val="21"/>
              </w:rPr>
            </w:pPr>
            <w:r>
              <w:rPr>
                <w:rFonts w:hint="eastAsia" w:ascii="宋体" w:hAnsi="宋体" w:cs="宋体"/>
                <w:sz w:val="24"/>
              </w:rPr>
              <w:t>最大治疗半径</w:t>
            </w:r>
            <w:r>
              <w:rPr>
                <w:rFonts w:hint="eastAsia" w:ascii="宋体" w:hAnsi="宋体"/>
                <w:bCs/>
                <w:kern w:val="0"/>
                <w:sz w:val="24"/>
              </w:rPr>
              <w:t>＞500mm，</w:t>
            </w:r>
            <w:r>
              <w:rPr>
                <w:rFonts w:hint="eastAsia" w:ascii="宋体" w:hAnsi="宋体" w:cs="宋体"/>
                <w:sz w:val="24"/>
              </w:rPr>
              <w:t>最大功耗</w:t>
            </w:r>
            <w:r>
              <w:rPr>
                <w:rFonts w:hint="eastAsia" w:ascii="宋体" w:hAnsi="宋体"/>
                <w:bCs/>
                <w:kern w:val="0"/>
                <w:sz w:val="24"/>
              </w:rPr>
              <w:t>300W，</w:t>
            </w:r>
            <w:r>
              <w:rPr>
                <w:rFonts w:hint="eastAsia" w:ascii="宋体" w:hAnsi="宋体" w:cs="宋体"/>
                <w:sz w:val="24"/>
              </w:rPr>
              <w:t>灯头照射角度</w:t>
            </w:r>
            <w:r>
              <w:rPr>
                <w:rFonts w:hint="eastAsia" w:ascii="宋体" w:hAnsi="宋体"/>
                <w:bCs/>
                <w:kern w:val="0"/>
                <w:sz w:val="24"/>
              </w:rPr>
              <w:t>360°可旋转；</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numPr>
                <w:numId w:val="0"/>
              </w:numPr>
              <w:spacing w:before="100" w:beforeAutospacing="1" w:after="100" w:afterAutospacing="1" w:line="320" w:lineRule="exact"/>
              <w:jc w:val="left"/>
              <w:rPr>
                <w:rFonts w:ascii="仿宋" w:hAnsi="仿宋" w:eastAsia="仿宋"/>
                <w:szCs w:val="21"/>
              </w:rPr>
            </w:pPr>
            <w:r>
              <w:rPr>
                <w:rFonts w:hint="eastAsia" w:ascii="宋体" w:hAnsi="宋体"/>
                <w:bCs/>
                <w:kern w:val="0"/>
                <w:sz w:val="24"/>
              </w:rPr>
              <w:t>可按照医保报销目录进行收费，且收费名称与设备名称一致；按照红光、蓝光治疗收费；</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numPr>
                <w:numId w:val="0"/>
              </w:numPr>
              <w:spacing w:before="100" w:beforeAutospacing="1" w:after="100" w:afterAutospacing="1" w:line="320" w:lineRule="exact"/>
              <w:jc w:val="left"/>
              <w:rPr>
                <w:rFonts w:ascii="仿宋" w:hAnsi="仿宋" w:eastAsia="仿宋"/>
                <w:szCs w:val="21"/>
              </w:rPr>
            </w:pPr>
            <w:r>
              <w:rPr>
                <w:rFonts w:hint="eastAsia" w:ascii="宋体" w:hAnsi="宋体" w:eastAsia="宋体" w:cs="宋体"/>
                <w:kern w:val="0"/>
                <w:sz w:val="24"/>
              </w:rPr>
              <w:t>须要</w:t>
            </w:r>
            <w:r>
              <w:rPr>
                <w:rFonts w:hint="eastAsia" w:ascii="宋体" w:hAnsi="宋体"/>
                <w:bCs/>
                <w:kern w:val="0"/>
                <w:sz w:val="24"/>
              </w:rPr>
              <w:t>提供两份三甲医院的临床报告；</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numPr>
                <w:numId w:val="0"/>
              </w:numPr>
              <w:spacing w:before="100" w:beforeAutospacing="1" w:after="100" w:afterAutospacing="1" w:line="320" w:lineRule="exact"/>
              <w:jc w:val="left"/>
              <w:rPr>
                <w:rFonts w:ascii="仿宋" w:hAnsi="仿宋" w:eastAsia="仿宋"/>
                <w:szCs w:val="21"/>
              </w:rPr>
            </w:pPr>
            <w:r>
              <w:rPr>
                <w:rFonts w:hint="eastAsia" w:ascii="宋体" w:hAnsi="宋体" w:eastAsia="宋体" w:cs="宋体"/>
                <w:kern w:val="0"/>
                <w:sz w:val="24"/>
              </w:rPr>
              <w:t>液晶屏显示，触摸操作，手动操作；</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numPr>
                <w:numId w:val="0"/>
              </w:numPr>
              <w:spacing w:before="100" w:beforeAutospacing="1" w:after="100" w:afterAutospacing="1" w:line="320" w:lineRule="exact"/>
              <w:jc w:val="left"/>
              <w:rPr>
                <w:rFonts w:ascii="仿宋" w:hAnsi="仿宋" w:eastAsia="仿宋"/>
                <w:szCs w:val="21"/>
              </w:rPr>
            </w:pPr>
            <w:r>
              <w:rPr>
                <w:rFonts w:hint="eastAsia" w:ascii="宋体" w:hAnsi="宋体"/>
                <w:bCs/>
                <w:kern w:val="0"/>
                <w:sz w:val="24"/>
              </w:rPr>
              <w:t>产品售后服务：省内设有厂家办事处，同时驻有售后维修人员，并且开通400服务热线和售后专线。</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vAlign w:val="center"/>
          </w:tcPr>
          <w:p>
            <w:pPr>
              <w:jc w:val="center"/>
              <w:rPr>
                <w:rFonts w:asciiTheme="minorHAnsi" w:hAnsiTheme="minorHAnsi" w:eastAsiaTheme="minorEastAsia" w:cstheme="minorBidi"/>
                <w:bCs/>
                <w:kern w:val="2"/>
                <w:sz w:val="24"/>
                <w:szCs w:val="22"/>
                <w:lang w:val="en-US" w:eastAsia="zh-CN" w:bidi="ar-SA"/>
              </w:rPr>
            </w:pPr>
          </w:p>
        </w:tc>
        <w:tc>
          <w:tcPr>
            <w:tcW w:w="3261" w:type="dxa"/>
            <w:vAlign w:val="center"/>
          </w:tcPr>
          <w:p>
            <w:pPr>
              <w:spacing w:line="360" w:lineRule="auto"/>
              <w:jc w:val="center"/>
              <w:rPr>
                <w:rFonts w:asciiTheme="minorHAnsi" w:hAnsiTheme="minorHAnsi" w:eastAsiaTheme="minorEastAsia" w:cstheme="minorBidi"/>
                <w:bCs/>
                <w:kern w:val="2"/>
                <w:sz w:val="24"/>
                <w:szCs w:val="22"/>
                <w:lang w:val="en-US" w:eastAsia="zh-CN" w:bidi="ar-SA"/>
              </w:rPr>
            </w:pPr>
            <w:r>
              <w:rPr>
                <w:rFonts w:hint="eastAsia"/>
                <w:bCs/>
                <w:sz w:val="24"/>
              </w:rPr>
              <w:t>主机一台</w:t>
            </w:r>
          </w:p>
        </w:tc>
        <w:tc>
          <w:tcPr>
            <w:tcW w:w="708" w:type="dxa"/>
            <w:vAlign w:val="center"/>
          </w:tcPr>
          <w:p>
            <w:pPr>
              <w:spacing w:line="360" w:lineRule="auto"/>
              <w:jc w:val="center"/>
              <w:rPr>
                <w:rFonts w:asciiTheme="minorHAnsi" w:hAnsiTheme="minorHAnsi" w:eastAsiaTheme="minorEastAsia" w:cstheme="minorBidi"/>
                <w:bCs/>
                <w:kern w:val="2"/>
                <w:sz w:val="24"/>
                <w:szCs w:val="22"/>
                <w:lang w:val="en-US" w:eastAsia="zh-CN" w:bidi="ar-SA"/>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vAlign w:val="center"/>
          </w:tcPr>
          <w:p>
            <w:pPr>
              <w:jc w:val="center"/>
              <w:rPr>
                <w:rFonts w:asciiTheme="minorHAnsi" w:hAnsiTheme="minorHAnsi" w:eastAsiaTheme="minorEastAsia" w:cstheme="minorBidi"/>
                <w:bCs/>
                <w:kern w:val="2"/>
                <w:sz w:val="24"/>
                <w:szCs w:val="22"/>
                <w:lang w:val="en-US" w:eastAsia="zh-CN" w:bidi="ar-SA"/>
              </w:rPr>
            </w:pPr>
          </w:p>
        </w:tc>
        <w:tc>
          <w:tcPr>
            <w:tcW w:w="3261" w:type="dxa"/>
            <w:vAlign w:val="center"/>
          </w:tcPr>
          <w:p>
            <w:pPr>
              <w:spacing w:line="360" w:lineRule="auto"/>
              <w:jc w:val="center"/>
              <w:rPr>
                <w:rFonts w:asciiTheme="minorHAnsi" w:hAnsiTheme="minorHAnsi" w:eastAsiaTheme="minorEastAsia" w:cstheme="minorBidi"/>
                <w:bCs/>
                <w:kern w:val="2"/>
                <w:sz w:val="24"/>
                <w:szCs w:val="22"/>
                <w:lang w:val="en-US" w:eastAsia="zh-CN" w:bidi="ar-SA"/>
              </w:rPr>
            </w:pPr>
            <w:r>
              <w:rPr>
                <w:rFonts w:hint="eastAsia"/>
                <w:bCs/>
                <w:sz w:val="24"/>
              </w:rPr>
              <w:t>支架及治疗头一套</w:t>
            </w:r>
          </w:p>
        </w:tc>
        <w:tc>
          <w:tcPr>
            <w:tcW w:w="708" w:type="dxa"/>
            <w:vAlign w:val="center"/>
          </w:tcPr>
          <w:p>
            <w:pPr>
              <w:spacing w:line="360" w:lineRule="auto"/>
              <w:jc w:val="center"/>
              <w:rPr>
                <w:rFonts w:asciiTheme="minorHAnsi" w:hAnsiTheme="minorHAnsi" w:eastAsiaTheme="minorEastAsia" w:cstheme="minorBidi"/>
                <w:bCs/>
                <w:kern w:val="2"/>
                <w:sz w:val="24"/>
                <w:szCs w:val="22"/>
                <w:lang w:val="en-US" w:eastAsia="zh-CN" w:bidi="ar-SA"/>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vAlign w:val="center"/>
          </w:tcPr>
          <w:p>
            <w:pPr>
              <w:jc w:val="center"/>
              <w:rPr>
                <w:rFonts w:asciiTheme="minorHAnsi" w:hAnsiTheme="minorHAnsi" w:eastAsiaTheme="minorEastAsia" w:cstheme="minorBidi"/>
                <w:bCs/>
                <w:kern w:val="2"/>
                <w:sz w:val="24"/>
                <w:szCs w:val="22"/>
                <w:lang w:val="en-US" w:eastAsia="zh-CN" w:bidi="ar-SA"/>
              </w:rPr>
            </w:pPr>
          </w:p>
        </w:tc>
        <w:tc>
          <w:tcPr>
            <w:tcW w:w="3261" w:type="dxa"/>
            <w:vAlign w:val="center"/>
          </w:tcPr>
          <w:p>
            <w:pPr>
              <w:spacing w:line="360" w:lineRule="auto"/>
              <w:jc w:val="center"/>
              <w:rPr>
                <w:rFonts w:eastAsia="宋体" w:asciiTheme="minorHAnsi" w:hAnsiTheme="minorHAnsi" w:cstheme="minorBidi"/>
                <w:bCs/>
                <w:kern w:val="2"/>
                <w:sz w:val="24"/>
                <w:szCs w:val="22"/>
                <w:lang w:val="en-US" w:eastAsia="zh-CN" w:bidi="ar-SA"/>
              </w:rPr>
            </w:pPr>
            <w:r>
              <w:rPr>
                <w:rFonts w:hint="eastAsia"/>
                <w:bCs/>
                <w:sz w:val="24"/>
              </w:rPr>
              <w:t>电源线、地线、保险丝一套</w:t>
            </w:r>
          </w:p>
        </w:tc>
        <w:tc>
          <w:tcPr>
            <w:tcW w:w="708" w:type="dxa"/>
            <w:vAlign w:val="center"/>
          </w:tcPr>
          <w:p>
            <w:pPr>
              <w:spacing w:line="360" w:lineRule="auto"/>
              <w:jc w:val="center"/>
              <w:rPr>
                <w:rFonts w:eastAsia="宋体" w:asciiTheme="minorHAnsi" w:hAnsiTheme="minorHAnsi" w:cstheme="minorBidi"/>
                <w:bCs/>
                <w:kern w:val="2"/>
                <w:sz w:val="24"/>
                <w:szCs w:val="22"/>
                <w:lang w:val="en-US" w:eastAsia="zh-CN" w:bidi="ar-SA"/>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vAlign w:val="center"/>
          </w:tcPr>
          <w:p>
            <w:pPr>
              <w:jc w:val="center"/>
              <w:rPr>
                <w:rFonts w:eastAsia="宋体" w:asciiTheme="minorHAnsi" w:hAnsiTheme="minorHAnsi" w:cstheme="minorBidi"/>
                <w:bCs/>
                <w:kern w:val="2"/>
                <w:sz w:val="24"/>
                <w:szCs w:val="22"/>
                <w:lang w:val="en-US" w:eastAsia="zh-CN" w:bidi="ar-SA"/>
              </w:rPr>
            </w:pPr>
          </w:p>
        </w:tc>
        <w:tc>
          <w:tcPr>
            <w:tcW w:w="3261" w:type="dxa"/>
            <w:vAlign w:val="center"/>
          </w:tcPr>
          <w:p>
            <w:pPr>
              <w:spacing w:line="360" w:lineRule="auto"/>
              <w:jc w:val="center"/>
              <w:rPr>
                <w:rFonts w:eastAsia="宋体" w:asciiTheme="minorHAnsi" w:hAnsiTheme="minorHAnsi" w:cstheme="minorBidi"/>
                <w:bCs/>
                <w:kern w:val="2"/>
                <w:sz w:val="24"/>
                <w:szCs w:val="22"/>
                <w:lang w:val="en-US" w:eastAsia="zh-CN" w:bidi="ar-SA"/>
              </w:rPr>
            </w:pPr>
            <w:r>
              <w:rPr>
                <w:rFonts w:hint="eastAsia"/>
                <w:bCs/>
                <w:sz w:val="24"/>
              </w:rPr>
              <w:t>灯罩、眼镜、眼罩一套</w:t>
            </w:r>
          </w:p>
        </w:tc>
        <w:tc>
          <w:tcPr>
            <w:tcW w:w="708" w:type="dxa"/>
            <w:vAlign w:val="center"/>
          </w:tcPr>
          <w:p>
            <w:pPr>
              <w:spacing w:line="360" w:lineRule="auto"/>
              <w:jc w:val="center"/>
              <w:rPr>
                <w:rFonts w:eastAsia="宋体" w:asciiTheme="minorHAnsi" w:hAnsiTheme="minorHAnsi" w:cstheme="minorBidi"/>
                <w:bCs/>
                <w:kern w:val="2"/>
                <w:sz w:val="24"/>
                <w:szCs w:val="21"/>
                <w:lang w:val="en-US" w:eastAsia="zh-CN" w:bidi="ar-SA"/>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vAlign w:val="center"/>
          </w:tcPr>
          <w:p>
            <w:pPr>
              <w:jc w:val="center"/>
              <w:rPr>
                <w:rFonts w:eastAsia="宋体" w:asciiTheme="minorHAnsi" w:hAnsiTheme="minorHAnsi" w:cstheme="minorBidi"/>
                <w:bCs/>
                <w:kern w:val="2"/>
                <w:sz w:val="24"/>
                <w:szCs w:val="22"/>
                <w:lang w:val="en-US" w:eastAsia="zh-CN" w:bidi="ar-SA"/>
              </w:rPr>
            </w:pPr>
          </w:p>
        </w:tc>
        <w:tc>
          <w:tcPr>
            <w:tcW w:w="3261" w:type="dxa"/>
            <w:vAlign w:val="center"/>
          </w:tcPr>
          <w:p>
            <w:pPr>
              <w:spacing w:line="360" w:lineRule="auto"/>
              <w:jc w:val="center"/>
              <w:rPr>
                <w:rFonts w:eastAsia="宋体" w:asciiTheme="minorHAnsi" w:hAnsiTheme="minorHAnsi" w:cstheme="minorBidi"/>
                <w:bCs/>
                <w:kern w:val="2"/>
                <w:sz w:val="24"/>
                <w:szCs w:val="22"/>
                <w:lang w:val="en-US" w:eastAsia="zh-CN" w:bidi="ar-SA"/>
              </w:rPr>
            </w:pPr>
            <w:r>
              <w:rPr>
                <w:rFonts w:hint="eastAsia"/>
                <w:bCs/>
                <w:sz w:val="24"/>
              </w:rPr>
              <w:t>产品三证、服务卡、说明书一套</w:t>
            </w:r>
          </w:p>
        </w:tc>
        <w:tc>
          <w:tcPr>
            <w:tcW w:w="708" w:type="dxa"/>
            <w:vAlign w:val="center"/>
          </w:tcPr>
          <w:p>
            <w:pPr>
              <w:spacing w:line="360" w:lineRule="auto"/>
              <w:jc w:val="center"/>
              <w:rPr>
                <w:rFonts w:asciiTheme="minorHAnsi" w:hAnsiTheme="minorHAnsi" w:eastAsiaTheme="minorEastAsia" w:cstheme="minorBidi"/>
                <w:bCs/>
                <w:kern w:val="2"/>
                <w:sz w:val="24"/>
                <w:szCs w:val="22"/>
                <w:lang w:val="en-US" w:eastAsia="zh-CN" w:bidi="ar-SA"/>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numPr>
                <w:ilvl w:val="0"/>
                <w:numId w:val="0"/>
              </w:numPr>
              <w:shd w:val="clear" w:color="auto" w:fill="FFFFFF"/>
              <w:tabs>
                <w:tab w:val="left" w:pos="960"/>
                <w:tab w:val="left" w:pos="6617"/>
              </w:tabs>
              <w:kinsoku/>
              <w:wordWrap/>
              <w:overflowPunct/>
              <w:topLinePunct w:val="0"/>
              <w:autoSpaceDE/>
              <w:autoSpaceDN/>
              <w:bidi w:val="0"/>
              <w:adjustRightInd/>
              <w:snapToGrid/>
              <w:spacing w:line="360" w:lineRule="auto"/>
              <w:ind w:left="0" w:leftChars="0" w:firstLine="0" w:firstLineChars="0"/>
              <w:jc w:val="left"/>
              <w:textAlignment w:val="auto"/>
              <w:outlineLvl w:val="9"/>
              <w:rPr>
                <w:rFonts w:ascii="仿宋" w:hAnsi="仿宋" w:eastAsia="仿宋"/>
                <w:szCs w:val="21"/>
              </w:rPr>
            </w:pPr>
            <w:r>
              <w:rPr>
                <w:rFonts w:hint="eastAsia"/>
                <w:color w:val="000000"/>
                <w:szCs w:val="21"/>
              </w:rPr>
              <w:t>售后服务要求：整机免费保修三年（含所有零部件，包括须定期更换零部件）</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仿宋" w:hAnsi="仿宋" w:eastAsia="仿宋"/>
                <w:szCs w:val="21"/>
              </w:rPr>
            </w:pPr>
            <w:r>
              <w:rPr>
                <w:rFonts w:hint="eastAsia"/>
                <w:color w:val="000000"/>
                <w:szCs w:val="21"/>
              </w:rPr>
              <w:t>提供近3年内同机型设备国内医院用户合同</w:t>
            </w:r>
            <w:r>
              <w:rPr>
                <w:rFonts w:hint="eastAsia"/>
                <w:color w:val="000000"/>
                <w:szCs w:val="21"/>
                <w:lang w:val="en-US" w:eastAsia="zh-CN"/>
              </w:rPr>
              <w:t>5</w:t>
            </w:r>
            <w:r>
              <w:rPr>
                <w:rFonts w:hint="eastAsia"/>
                <w:color w:val="000000"/>
                <w:szCs w:val="21"/>
              </w:rPr>
              <w:t>家及以上，标书内提供清晰的合同原件扫描件并加盖公章（遮盖认定为无效业绩）</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表一：相关配置清单</w:t>
      </w:r>
      <w:r>
        <w:rPr>
          <w:rFonts w:hint="eastAsia" w:ascii="仿宋" w:hAnsi="仿宋" w:eastAsia="仿宋"/>
          <w:szCs w:val="21"/>
        </w:rPr>
        <w:t>（样表，可单列且加盖公章）</w:t>
      </w:r>
    </w:p>
    <w:tbl>
      <w:tblPr>
        <w:tblStyle w:val="3"/>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表二：</w:t>
      </w:r>
      <w:r>
        <w:rPr>
          <w:rFonts w:hint="eastAsia" w:ascii="仿宋" w:hAnsi="仿宋" w:eastAsia="仿宋"/>
          <w:szCs w:val="21"/>
        </w:rPr>
        <w:t xml:space="preserve">配套耗材报价清单（样表，可单列且加盖公章）  </w:t>
      </w:r>
    </w:p>
    <w:tbl>
      <w:tblPr>
        <w:tblStyle w:val="3"/>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表三：</w:t>
      </w:r>
      <w:r>
        <w:rPr>
          <w:rFonts w:hint="eastAsia" w:ascii="仿宋" w:hAnsi="仿宋" w:eastAsia="仿宋"/>
          <w:szCs w:val="21"/>
        </w:rPr>
        <w:t xml:space="preserve">配套试剂【单人次费用】报价清单（样表，可单列且加盖公章）                           </w:t>
      </w:r>
    </w:p>
    <w:tbl>
      <w:tblPr>
        <w:tblStyle w:val="3"/>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表四：</w:t>
      </w:r>
      <w:r>
        <w:rPr>
          <w:rFonts w:hint="eastAsia" w:ascii="仿宋" w:hAnsi="仿宋" w:eastAsia="仿宋"/>
          <w:szCs w:val="21"/>
        </w:rPr>
        <w:t xml:space="preserve">须定期更换零部件报价清单（样表，可单列且加盖公章）                           </w:t>
      </w:r>
    </w:p>
    <w:tbl>
      <w:tblPr>
        <w:tblStyle w:val="3"/>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B94680"/>
    <w:multiLevelType w:val="singleLevel"/>
    <w:tmpl w:val="52B94680"/>
    <w:lvl w:ilvl="0" w:tentative="0">
      <w:start w:val="3"/>
      <w:numFmt w:val="decimal"/>
      <w:suff w:val="nothing"/>
      <w:lvlText w:val="%1、"/>
      <w:lvlJc w:val="left"/>
    </w:lvl>
  </w:abstractNum>
  <w:abstractNum w:abstractNumId="1">
    <w:nsid w:val="585ACAD7"/>
    <w:multiLevelType w:val="singleLevel"/>
    <w:tmpl w:val="585ACAD7"/>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636996"/>
    <w:rsid w:val="06636996"/>
    <w:rsid w:val="146618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2021-07-07T01:02:00Z</dcterms:created>
  <dc:creator>今晚打老虎จุ๊บ</dc:creator>
  <cp:lastModifiedBy>今晚打老虎จุ๊บ</cp:lastModifiedBy>
  <dcterms:modified xsi:type="dcterms:W3CDTF">2021-07-07T01:05:33Z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9F5A7BCBF5024F44A37950F19EBCDB0D</vt:lpwstr>
  </property>
</Properties>
</file>