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lang w:val="en-US" w:eastAsia="zh-CN"/>
        </w:rPr>
        <w:t xml:space="preserve">      </w:t>
      </w:r>
      <w:bookmarkStart w:id="0" w:name="_GoBack"/>
      <w:bookmarkEnd w:id="0"/>
      <w:r>
        <w:rPr>
          <w:rFonts w:hint="eastAsia" w:asciiTheme="majorEastAsia" w:hAnsiTheme="majorEastAsia" w:eastAsiaTheme="majorEastAsia"/>
          <w:b/>
          <w:sz w:val="32"/>
          <w:szCs w:val="32"/>
        </w:rPr>
        <w:t>拟购</w:t>
      </w:r>
      <w:r>
        <w:rPr>
          <w:rFonts w:hint="eastAsia" w:ascii="宋体" w:hAnsi="宋体" w:cs="宋体"/>
          <w:b/>
          <w:bCs/>
          <w:color w:val="000000"/>
          <w:kern w:val="0"/>
          <w:sz w:val="28"/>
          <w:szCs w:val="28"/>
          <w:u w:val="single"/>
          <w:lang w:eastAsia="zh-CN"/>
        </w:rPr>
        <w:t>人工肝</w:t>
      </w:r>
      <w:r>
        <w:rPr>
          <w:rFonts w:hint="eastAsia" w:ascii="宋体" w:hAnsi="宋体" w:cs="宋体"/>
          <w:b/>
          <w:bCs/>
          <w:color w:val="000000"/>
          <w:kern w:val="0"/>
          <w:sz w:val="28"/>
          <w:szCs w:val="28"/>
          <w:u w:val="single"/>
        </w:rPr>
        <w:t>血液净化机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ind w:left="567" w:leftChars="0" w:hanging="567" w:firstLineChars="0"/>
              <w:rPr>
                <w:rFonts w:ascii="仿宋" w:hAnsi="仿宋" w:eastAsia="仿宋"/>
                <w:szCs w:val="21"/>
              </w:rPr>
            </w:pPr>
            <w:r>
              <w:rPr>
                <w:rFonts w:hint="eastAsia" w:ascii="宋体" w:hAnsi="宋体" w:cs="宋体"/>
                <w:b/>
                <w:bCs/>
                <w:color w:val="000000"/>
                <w:kern w:val="0"/>
                <w:sz w:val="21"/>
                <w:szCs w:val="21"/>
              </w:rPr>
              <w:t>一、治疗模式要求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具备持续性血液滤过（CVVH）、单纯血浆置换（PE）、双重血浆置换（DFPP）、血浆吸附（PA）</w:t>
            </w:r>
            <w:r>
              <w:rPr>
                <w:rFonts w:hint="eastAsia" w:ascii="宋体" w:hAnsi="宋体" w:cs="宋体"/>
                <w:color w:val="000000"/>
                <w:kern w:val="0"/>
                <w:sz w:val="18"/>
                <w:szCs w:val="18"/>
                <w:lang w:eastAsia="zh-CN"/>
              </w:rPr>
              <w:t>、双重血浆分子吸附系统（</w:t>
            </w:r>
            <w:r>
              <w:rPr>
                <w:rFonts w:hint="eastAsia" w:ascii="宋体" w:hAnsi="宋体" w:cs="宋体"/>
                <w:color w:val="000000"/>
                <w:kern w:val="0"/>
                <w:sz w:val="18"/>
                <w:szCs w:val="18"/>
                <w:lang w:val="en-US" w:eastAsia="zh-CN"/>
              </w:rPr>
              <w:t>DPMAS</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等血液净化治疗模式，灵活满足临床所需CRRT连续性血液净化和人工肝治疗模式。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通过自设编程程序，可进行手动设置，自行设计临床所需的治疗模式。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ind w:left="567" w:leftChars="0" w:hanging="567" w:firstLineChars="0"/>
              <w:rPr>
                <w:rFonts w:ascii="仿宋" w:hAnsi="仿宋" w:eastAsia="仿宋"/>
                <w:szCs w:val="21"/>
              </w:rPr>
            </w:pPr>
            <w:r>
              <w:rPr>
                <w:rFonts w:hint="eastAsia" w:ascii="宋体" w:hAnsi="宋体" w:cs="宋体"/>
                <w:b/>
                <w:bCs/>
                <w:color w:val="000000"/>
                <w:kern w:val="0"/>
                <w:sz w:val="21"/>
                <w:szCs w:val="21"/>
              </w:rPr>
              <w:t>二、技术参数要求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彩色液晶触摸屏，全中文显示，可实时显示治疗过程参数。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sz w:val="18"/>
                <w:szCs w:val="18"/>
              </w:rPr>
              <w:t>具备4个流量泵：血泵、补液泵、透析液泵、滤过液泵。</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具备两个振摇夹持器，可自动摇摆，预冲时利于滤器内气泡排除，降低凝血风险。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具备6个压力监测器：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kern w:val="0"/>
                <w:sz w:val="18"/>
                <w:szCs w:val="18"/>
              </w:rPr>
              <w:t>动脉压</w:t>
            </w:r>
            <w:r>
              <w:rPr>
                <w:rFonts w:hint="eastAsia" w:ascii="宋体" w:hAnsi="宋体" w:cs="宋体"/>
                <w:kern w:val="0"/>
                <w:sz w:val="18"/>
                <w:szCs w:val="18"/>
                <w:lang w:eastAsia="zh-CN"/>
              </w:rPr>
              <w:t>：</w:t>
            </w:r>
            <w:r>
              <w:rPr>
                <w:rFonts w:hint="eastAsia" w:ascii="宋体" w:hAnsi="宋体" w:cs="宋体"/>
                <w:kern w:val="0"/>
                <w:sz w:val="18"/>
                <w:szCs w:val="18"/>
              </w:rPr>
              <w:t xml:space="preserve"> -53.33～40kPa ，±1.33kPa（－400～300mmHg，±10mmHg）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360" w:lineRule="atLeast"/>
              <w:ind w:left="0" w:leftChars="0" w:firstLine="0" w:firstLineChars="0"/>
              <w:jc w:val="left"/>
              <w:textAlignment w:val="auto"/>
              <w:outlineLvl w:val="9"/>
              <w:rPr>
                <w:rFonts w:ascii="仿宋" w:hAnsi="仿宋" w:eastAsia="仿宋"/>
                <w:szCs w:val="21"/>
              </w:rPr>
            </w:pPr>
            <w:r>
              <w:rPr>
                <w:rFonts w:hint="eastAsia" w:ascii="宋体" w:hAnsi="宋体" w:cs="宋体"/>
                <w:kern w:val="0"/>
                <w:sz w:val="18"/>
                <w:szCs w:val="18"/>
              </w:rPr>
              <w:t>静脉压： -53.33～40kPa ，±1.33kPa（－400～300mmHg，±10mmHg）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360" w:lineRule="atLeast"/>
              <w:jc w:val="left"/>
              <w:textAlignment w:val="auto"/>
              <w:outlineLvl w:val="9"/>
              <w:rPr>
                <w:rFonts w:ascii="仿宋" w:hAnsi="仿宋" w:eastAsia="仿宋"/>
                <w:szCs w:val="21"/>
              </w:rPr>
            </w:pPr>
            <w:r>
              <w:rPr>
                <w:rFonts w:hint="eastAsia" w:ascii="宋体" w:hAnsi="宋体" w:cs="宋体"/>
                <w:kern w:val="0"/>
                <w:sz w:val="18"/>
                <w:szCs w:val="18"/>
              </w:rPr>
              <w:t>滤器入口压：-53.33～40kPa ，±1.33kPa (－400～300mmHg，±10mmHg)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kern w:val="0"/>
                <w:sz w:val="18"/>
                <w:szCs w:val="18"/>
              </w:rPr>
              <w:t>一级膜外压：-53.33～40kPa ，±1.33kPa (－400～300mmHg，±10mmHg)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kern w:val="0"/>
                <w:sz w:val="18"/>
                <w:szCs w:val="18"/>
              </w:rPr>
              <w:t>血浆入口压：-53.33～40kPa ，±1.33kPa (－400～300mmHg，±10mmHg)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kern w:val="0"/>
                <w:sz w:val="18"/>
                <w:szCs w:val="18"/>
              </w:rPr>
              <w:t>二级膜外压：-53.33～40kPa ，±1.33kPa (－400～300mmHg，±10mmHg)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加温器：双面热板加温方式，35～40℃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widowControl/>
              <w:shd w:val="clear" w:color="auto" w:fill="FFFFFF"/>
              <w:spacing w:before="100" w:beforeAutospacing="1" w:after="100" w:afterAutospacing="1" w:line="360" w:lineRule="atLeast"/>
              <w:rPr>
                <w:rFonts w:ascii="仿宋" w:hAnsi="仿宋" w:eastAsia="仿宋"/>
                <w:szCs w:val="21"/>
              </w:rPr>
            </w:pPr>
            <w:r>
              <w:rPr>
                <w:rFonts w:hint="eastAsia" w:ascii="宋体" w:hAnsi="宋体" w:cs="宋体"/>
                <w:color w:val="000000"/>
                <w:kern w:val="0"/>
                <w:sz w:val="18"/>
                <w:szCs w:val="18"/>
              </w:rPr>
              <w:t>开放式管路，自由选择滤器，可根据临床需求自由组合管路。</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1EC13"/>
    <w:multiLevelType w:val="singleLevel"/>
    <w:tmpl w:val="7AC1EC1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E4C66"/>
    <w:rsid w:val="013E4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2021-07-07T01:20:00Z</dcterms:created>
  <dc:creator>今晚打老虎จุ๊บ</dc:creator>
  <cp:lastModifiedBy>今晚打老虎จุ๊บ</cp:lastModifiedBy>
  <dcterms:modified xsi:type="dcterms:W3CDTF">2021-07-07T01:22:36Z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5CB920C046A441BDA7E9C526E9EA60C4</vt:lpwstr>
  </property>
</Properties>
</file>