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Theme="majorEastAsia" w:hAnsiTheme="majorEastAsia" w:eastAsiaTheme="majorEastAsia"/>
          <w:b w:val="0"/>
          <w:bCs/>
          <w:sz w:val="28"/>
          <w:szCs w:val="28"/>
          <w:u w:val="single"/>
        </w:rPr>
        <w:t>生发治疗仪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jc w:val="both"/>
              <w:rPr>
                <w:rFonts w:ascii="仿宋" w:hAnsi="仿宋" w:eastAsia="仿宋"/>
                <w:szCs w:val="21"/>
              </w:rPr>
            </w:pPr>
            <w:r>
              <w:rPr>
                <w:rFonts w:hint="eastAsia"/>
                <w:sz w:val="22"/>
                <w:szCs w:val="22"/>
              </w:rPr>
              <w:t>光源材料：半导体固态光源（点阵芯片集成式）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峰值波长：</w:t>
            </w:r>
            <w:r>
              <w:rPr>
                <w:sz w:val="22"/>
                <w:szCs w:val="22"/>
              </w:rPr>
              <w:t>640nm</w:t>
            </w:r>
            <w:r>
              <w:rPr>
                <w:rFonts w:hint="eastAsia"/>
                <w:sz w:val="22"/>
                <w:szCs w:val="22"/>
              </w:rPr>
              <w:t>±</w:t>
            </w:r>
            <w:r>
              <w:rPr>
                <w:sz w:val="22"/>
                <w:szCs w:val="22"/>
              </w:rPr>
              <w:t>10nm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光功率密度（光源表面测量）：≥</w:t>
            </w:r>
            <w:r>
              <w:rPr>
                <w:sz w:val="22"/>
                <w:szCs w:val="22"/>
              </w:rPr>
              <w:t>1500mW/cm2</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激光组件功能：激光波长</w:t>
            </w:r>
            <w:r>
              <w:rPr>
                <w:sz w:val="22"/>
                <w:szCs w:val="22"/>
              </w:rPr>
              <w:t>640nm</w:t>
            </w:r>
            <w:r>
              <w:rPr>
                <w:rFonts w:hint="eastAsia"/>
                <w:sz w:val="22"/>
                <w:szCs w:val="22"/>
              </w:rPr>
              <w:t>±</w:t>
            </w:r>
            <w:r>
              <w:rPr>
                <w:sz w:val="22"/>
                <w:szCs w:val="22"/>
              </w:rPr>
              <w:t>10nm</w:t>
            </w:r>
            <w:r>
              <w:rPr>
                <w:rFonts w:hint="eastAsia"/>
                <w:sz w:val="22"/>
                <w:szCs w:val="22"/>
              </w:rPr>
              <w:t>，功率≤</w:t>
            </w:r>
            <w:r>
              <w:rPr>
                <w:sz w:val="22"/>
                <w:szCs w:val="22"/>
              </w:rPr>
              <w:t>1mW</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光杯口平面面积：</w:t>
            </w:r>
            <w:r>
              <w:rPr>
                <w:sz w:val="22"/>
                <w:szCs w:val="22"/>
              </w:rPr>
              <w:t xml:space="preserve"> </w:t>
            </w:r>
            <w:r>
              <w:rPr>
                <w:rFonts w:hint="eastAsia"/>
                <w:sz w:val="22"/>
                <w:szCs w:val="22"/>
              </w:rPr>
              <w:t>≥</w:t>
            </w:r>
            <w:r>
              <w:rPr>
                <w:sz w:val="22"/>
                <w:szCs w:val="22"/>
              </w:rPr>
              <w:t>200cm2</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输出光功率（光杯口平面测量）：≥</w:t>
            </w:r>
            <w:r>
              <w:rPr>
                <w:sz w:val="22"/>
                <w:szCs w:val="22"/>
              </w:rPr>
              <w:t>8W</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升降装置：手动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能量调节方式：五级焦耳剂量能量调节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sz w:val="22"/>
                <w:szCs w:val="22"/>
              </w:rPr>
              <w:t>照射治疗模式：持续</w:t>
            </w:r>
            <w:r>
              <w:rPr>
                <w:sz w:val="22"/>
                <w:szCs w:val="22"/>
              </w:rPr>
              <w:t>/</w:t>
            </w:r>
            <w:r>
              <w:rPr>
                <w:rFonts w:hint="eastAsia"/>
                <w:sz w:val="22"/>
                <w:szCs w:val="22"/>
              </w:rPr>
              <w:t>脉冲照射治疗可选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sz w:val="22"/>
                <w:szCs w:val="22"/>
              </w:rPr>
              <w:t>定时时间：可从</w:t>
            </w:r>
            <w:r>
              <w:rPr>
                <w:sz w:val="22"/>
                <w:szCs w:val="22"/>
              </w:rPr>
              <w:t>0min~99min</w:t>
            </w:r>
            <w:r>
              <w:rPr>
                <w:rFonts w:hint="eastAsia"/>
                <w:sz w:val="22"/>
                <w:szCs w:val="22"/>
              </w:rPr>
              <w:t>连续可调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sz w:val="22"/>
                <w:szCs w:val="22"/>
              </w:rPr>
              <w:t>操作面板：触摸屏、液晶显示</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sz w:val="22"/>
                <w:szCs w:val="22"/>
              </w:rPr>
              <w:t>输入功率：</w:t>
            </w:r>
            <w:r>
              <w:rPr>
                <w:sz w:val="22"/>
                <w:szCs w:val="22"/>
              </w:rPr>
              <w:t>300VA</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9ED221"/>
    <w:multiLevelType w:val="singleLevel"/>
    <w:tmpl w:val="3A9ED22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83448"/>
    <w:rsid w:val="79A8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2021-07-07T01:22:00Z</dcterms:created>
  <dc:creator>今晚打老虎จุ๊บ</dc:creator>
  <cp:lastModifiedBy>今晚打老虎จุ๊บ</cp:lastModifiedBy>
  <dcterms:modified xsi:type="dcterms:W3CDTF">2021-07-07T01:28:37Z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C17C636B8B484BABBB574939E217F6C6</vt:lpwstr>
  </property>
</Properties>
</file>