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 w:hAnsi="仿宋" w:eastAsia="仿宋"/>
          <w:sz w:val="24"/>
          <w:szCs w:val="24"/>
        </w:rPr>
      </w:pPr>
      <w:r>
        <w:rPr>
          <w:rFonts w:hint="eastAsia" w:asciiTheme="majorEastAsia" w:hAnsiTheme="majorEastAsia" w:eastAsiaTheme="majorEastAsia"/>
          <w:b/>
          <w:sz w:val="36"/>
          <w:szCs w:val="36"/>
        </w:rPr>
        <w:t>附件7</w:t>
      </w: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 xml:space="preserve">  </w:t>
      </w:r>
      <w:r>
        <w:rPr>
          <w:rFonts w:hint="eastAsia" w:hAnsi="宋体"/>
          <w:b/>
          <w:sz w:val="32"/>
          <w:szCs w:val="32"/>
          <w:u w:val="single"/>
        </w:rPr>
        <w:t xml:space="preserve"> </w:t>
      </w:r>
      <w:r>
        <w:rPr>
          <w:rFonts w:hint="eastAsia" w:hAnsi="宋体"/>
          <w:b/>
          <w:sz w:val="32"/>
          <w:szCs w:val="32"/>
          <w:u w:val="single"/>
          <w:lang w:eastAsia="zh-CN"/>
        </w:rPr>
        <w:t>六安市中医院食堂设备</w:t>
      </w:r>
      <w:r>
        <w:rPr>
          <w:rFonts w:hint="eastAsia" w:hAnsi="宋体"/>
          <w:b/>
          <w:sz w:val="32"/>
          <w:szCs w:val="32"/>
          <w:u w:val="single"/>
        </w:rPr>
        <w:t xml:space="preserve">  </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w:t>
      </w:r>
      <w:r>
        <w:rPr>
          <w:rFonts w:hint="eastAsia" w:ascii="仿宋" w:hAnsi="仿宋" w:eastAsia="仿宋"/>
          <w:strike/>
          <w:dstrike w:val="0"/>
          <w:szCs w:val="21"/>
        </w:rPr>
        <w:t>医疗器械注册证号及</w:t>
      </w:r>
      <w:r>
        <w:rPr>
          <w:rFonts w:hint="eastAsia" w:ascii="仿宋" w:hAnsi="仿宋" w:eastAsia="仿宋"/>
          <w:szCs w:val="21"/>
        </w:rPr>
        <w:t>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w:t>
      </w:r>
      <w:r>
        <w:rPr>
          <w:rFonts w:hint="eastAsia" w:ascii="仿宋" w:hAnsi="仿宋" w:eastAsia="仿宋"/>
          <w:szCs w:val="21"/>
        </w:rPr>
        <w:sym w:font="Wingdings 2" w:char="0052"/>
      </w:r>
      <w:r>
        <w:rPr>
          <w:rFonts w:hint="eastAsia" w:ascii="仿宋" w:hAnsi="仿宋" w:eastAsia="仿宋"/>
          <w:szCs w:val="21"/>
        </w:rPr>
        <w:t>及其他□</w:t>
      </w:r>
      <w:r>
        <w:rPr>
          <w:rFonts w:hint="eastAsia" w:ascii="仿宋" w:hAnsi="仿宋" w:eastAsia="仿宋"/>
          <w:szCs w:val="21"/>
          <w:u w:val="single"/>
        </w:rPr>
        <w:t xml:space="preserve">    </w:t>
      </w:r>
      <w:r>
        <w:rPr>
          <w:rStyle w:val="11"/>
          <w:rFonts w:hint="eastAsia" w:ascii="仿宋" w:hAnsi="仿宋" w:eastAsia="仿宋"/>
          <w:sz w:val="24"/>
          <w:u w:val="single"/>
        </w:rPr>
        <w:t>zyyzwk2020@126.com</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 w:val="24"/>
          <w:szCs w:val="24"/>
          <w:u w:val="single"/>
        </w:rPr>
        <w:t xml:space="preserve"> </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5"/>
          <w:rFonts w:hint="eastAsia" w:ascii="仿宋" w:hAnsi="仿宋" w:eastAsia="仿宋" w:cs="仿宋"/>
          <w:b w:val="0"/>
          <w:bCs/>
          <w:color w:val="auto"/>
          <w:sz w:val="21"/>
          <w:szCs w:val="21"/>
          <w:lang w:eastAsia="zh-CN"/>
        </w:rPr>
        <w:t>具备</w:t>
      </w:r>
      <w:r>
        <w:rPr>
          <w:rStyle w:val="15"/>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w:t>
      </w:r>
      <w:r>
        <w:rPr>
          <w:rFonts w:hint="eastAsia" w:ascii="仿宋" w:hAnsi="仿宋" w:eastAsia="仿宋" w:cs="仿宋"/>
          <w:b w:val="0"/>
          <w:bCs/>
          <w:color w:val="FF0000"/>
          <w:szCs w:val="21"/>
          <w:lang w:val="en-US" w:eastAsia="zh-CN"/>
        </w:rPr>
        <w:t>拟设置为</w:t>
      </w:r>
      <w:r>
        <w:rPr>
          <w:rFonts w:hint="eastAsia" w:ascii="仿宋" w:hAnsi="仿宋" w:eastAsia="仿宋" w:cs="仿宋"/>
          <w:b w:val="0"/>
          <w:bCs/>
          <w:color w:val="auto"/>
          <w:szCs w:val="21"/>
          <w:lang w:eastAsia="zh-CN"/>
        </w:rPr>
        <w:t>★项参数</w:t>
      </w:r>
      <w:r>
        <w:rPr>
          <w:rFonts w:hint="eastAsia" w:ascii="仿宋" w:hAnsi="仿宋" w:eastAsia="仿宋" w:cs="仿宋"/>
          <w:b w:val="0"/>
          <w:bCs/>
          <w:color w:val="FF0000"/>
          <w:szCs w:val="21"/>
          <w:lang w:val="en-US" w:eastAsia="zh-CN"/>
        </w:rPr>
        <w:t>(</w:t>
      </w:r>
      <w:r>
        <w:rPr>
          <w:rFonts w:hint="eastAsia" w:ascii="仿宋" w:hAnsi="仿宋" w:eastAsia="仿宋" w:cs="仿宋"/>
          <w:b w:val="0"/>
          <w:bCs/>
          <w:color w:val="FF0000"/>
          <w:szCs w:val="21"/>
          <w:lang w:eastAsia="zh-CN"/>
        </w:rPr>
        <w:t>★项标准：</w:t>
      </w:r>
      <w:r>
        <w:rPr>
          <w:rFonts w:hint="eastAsia" w:ascii="仿宋" w:hAnsi="仿宋" w:eastAsia="仿宋" w:cs="仿宋"/>
          <w:b w:val="0"/>
          <w:bCs/>
          <w:color w:val="FF0000"/>
          <w:szCs w:val="21"/>
          <w:lang w:val="en-US" w:eastAsia="zh-CN"/>
        </w:rPr>
        <w:t>拟购设备核心参数指标</w:t>
      </w:r>
      <w:r>
        <w:rPr>
          <w:rFonts w:hint="eastAsia" w:ascii="仿宋" w:hAnsi="仿宋" w:eastAsia="仿宋" w:cs="仿宋"/>
          <w:b/>
          <w:bCs w:val="0"/>
          <w:color w:val="auto"/>
          <w:szCs w:val="21"/>
          <w:lang w:val="en-US" w:eastAsia="zh-CN"/>
        </w:rPr>
        <w:t>【如有不妥，请提出并提供权威部门证明文件，否则不予采纳】)</w:t>
      </w:r>
      <w:r>
        <w:rPr>
          <w:rFonts w:hint="eastAsia" w:ascii="仿宋" w:hAnsi="仿宋" w:eastAsia="仿宋" w:cs="仿宋"/>
          <w:b w:val="0"/>
          <w:bCs/>
          <w:szCs w:val="21"/>
          <w:lang w:eastAsia="zh-CN"/>
        </w:rPr>
        <w:t>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5"/>
          <w:rFonts w:hint="eastAsia" w:ascii="仿宋" w:hAnsi="仿宋" w:eastAsia="仿宋" w:cs="仿宋"/>
          <w:b/>
          <w:bCs w:val="0"/>
          <w:color w:val="auto"/>
          <w:sz w:val="21"/>
          <w:szCs w:val="21"/>
          <w:lang w:eastAsia="zh-CN"/>
        </w:rPr>
        <w:t>或具备</w:t>
      </w:r>
      <w:r>
        <w:rPr>
          <w:rStyle w:val="15"/>
          <w:rFonts w:hint="eastAsia" w:ascii="仿宋" w:hAnsi="仿宋" w:eastAsia="仿宋" w:cs="仿宋"/>
          <w:b/>
          <w:bCs w:val="0"/>
          <w:color w:val="auto"/>
          <w:sz w:val="21"/>
          <w:szCs w:val="21"/>
          <w:lang w:val="en-US" w:eastAsia="zh-CN"/>
        </w:rPr>
        <w:t>CMA【或CNAS】资质检测机构）</w:t>
      </w:r>
      <w:r>
        <w:rPr>
          <w:rStyle w:val="15"/>
          <w:rFonts w:hint="eastAsia" w:ascii="仿宋" w:hAnsi="仿宋" w:eastAsia="仿宋" w:cs="仿宋"/>
          <w:b w:val="0"/>
          <w:bCs/>
          <w:color w:val="auto"/>
          <w:sz w:val="21"/>
          <w:szCs w:val="21"/>
          <w:lang w:val="en-US" w:eastAsia="zh-CN"/>
        </w:rPr>
        <w:t>出具的</w:t>
      </w:r>
      <w:r>
        <w:rPr>
          <w:rStyle w:val="15"/>
          <w:rFonts w:hint="eastAsia" w:ascii="仿宋" w:hAnsi="仿宋" w:eastAsia="仿宋" w:cs="仿宋"/>
          <w:b w:val="0"/>
          <w:bCs/>
          <w:color w:val="auto"/>
          <w:sz w:val="21"/>
          <w:szCs w:val="21"/>
        </w:rPr>
        <w:t>质检报告原件扫描件</w:t>
      </w:r>
      <w:r>
        <w:rPr>
          <w:rStyle w:val="15"/>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5"/>
          <w:rFonts w:hint="eastAsia" w:ascii="仿宋" w:hAnsi="仿宋" w:eastAsia="仿宋" w:cs="仿宋"/>
          <w:b w:val="0"/>
          <w:bCs/>
          <w:color w:val="auto"/>
          <w:sz w:val="21"/>
          <w:szCs w:val="21"/>
        </w:rPr>
        <w:t>食药监局</w:t>
      </w:r>
      <w:r>
        <w:rPr>
          <w:rStyle w:val="15"/>
          <w:rFonts w:hint="eastAsia" w:ascii="仿宋" w:hAnsi="仿宋" w:eastAsia="仿宋" w:cs="仿宋"/>
          <w:b w:val="0"/>
          <w:bCs/>
          <w:color w:val="auto"/>
          <w:sz w:val="21"/>
          <w:szCs w:val="21"/>
          <w:lang w:eastAsia="zh-CN"/>
        </w:rPr>
        <w:t>或</w:t>
      </w:r>
      <w:r>
        <w:rPr>
          <w:rStyle w:val="15"/>
          <w:rFonts w:hint="eastAsia" w:ascii="仿宋" w:hAnsi="仿宋" w:eastAsia="仿宋" w:cs="仿宋"/>
          <w:b w:val="0"/>
          <w:bCs/>
          <w:color w:val="auto"/>
          <w:sz w:val="21"/>
          <w:szCs w:val="21"/>
        </w:rPr>
        <w:t>其下属单位</w:t>
      </w:r>
      <w:r>
        <w:rPr>
          <w:rStyle w:val="15"/>
          <w:rFonts w:hint="eastAsia" w:ascii="仿宋" w:hAnsi="仿宋" w:eastAsia="仿宋" w:cs="仿宋"/>
          <w:b w:val="0"/>
          <w:bCs/>
          <w:color w:val="auto"/>
          <w:sz w:val="21"/>
          <w:szCs w:val="21"/>
          <w:lang w:eastAsia="zh-CN"/>
        </w:rPr>
        <w:t>或省级医疗器械检验机构或省级食品药品检验机构等）。</w:t>
      </w:r>
      <w:bookmarkStart w:id="0" w:name="_GoBack"/>
      <w:bookmarkEnd w:id="0"/>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w:t>
      </w:r>
    </w:p>
    <w:p>
      <w:pPr>
        <w:pStyle w:val="2"/>
        <w:rPr>
          <w:rFonts w:hint="default"/>
          <w:lang w:val="en-US" w:eastAsia="zh-CN"/>
        </w:rPr>
      </w:pPr>
    </w:p>
    <w:tbl>
      <w:tblPr>
        <w:tblW w:w="11520" w:type="dxa"/>
        <w:tblInd w:w="-8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70"/>
        <w:gridCol w:w="1515"/>
        <w:gridCol w:w="2025"/>
        <w:gridCol w:w="2610"/>
        <w:gridCol w:w="795"/>
        <w:gridCol w:w="900"/>
        <w:gridCol w:w="960"/>
        <w:gridCol w:w="840"/>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871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 w:hAnsi="仿宋" w:eastAsia="仿宋" w:cs="仿宋"/>
                <w:b/>
                <w:bCs/>
                <w:i w:val="0"/>
                <w:iCs w:val="0"/>
                <w:color w:val="000000"/>
                <w:sz w:val="32"/>
                <w:szCs w:val="32"/>
                <w:u w:val="none"/>
              </w:rPr>
            </w:pPr>
            <w:r>
              <w:rPr>
                <w:rFonts w:hint="eastAsia" w:ascii="仿宋" w:hAnsi="仿宋" w:eastAsia="仿宋" w:cs="仿宋"/>
                <w:b/>
                <w:bCs/>
                <w:i w:val="0"/>
                <w:iCs w:val="0"/>
                <w:color w:val="000000"/>
                <w:kern w:val="0"/>
                <w:sz w:val="32"/>
                <w:szCs w:val="32"/>
                <w:u w:val="none"/>
                <w:bdr w:val="none" w:color="auto" w:sz="0" w:space="0"/>
                <w:lang w:val="en-US" w:eastAsia="zh-CN" w:bidi="ar"/>
              </w:rPr>
              <w:t>六安市中医院食堂拟购设备询价清单</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2"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序号</w:t>
            </w: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品名</w:t>
            </w:r>
          </w:p>
        </w:tc>
        <w:tc>
          <w:tcPr>
            <w:tcW w:w="2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规格/MM</w:t>
            </w:r>
          </w:p>
        </w:tc>
        <w:tc>
          <w:tcPr>
            <w:tcW w:w="26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技术说明</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单价</w:t>
            </w: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小计</w:t>
            </w: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5" w:hRule="atLeast"/>
        </w:trPr>
        <w:tc>
          <w:tcPr>
            <w:tcW w:w="8715"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 w:hAnsi="仿宋" w:eastAsia="仿宋" w:cs="仿宋"/>
                <w:b/>
                <w:bCs/>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双头双尾节能炒灶</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2000*1200*800+400*100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—采用优质SUS201/2B不锈钢板材制作；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—灶面板1.0mm,侧板、背板、前面板1.0mm；</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—拦渣板，底架为40*40*3mm角钢及2mm钢板制作，两层防锈处理；</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—一键式点火启动，采用先进的节能机组炉芯，与传统炉芯比较可节能40%带长明火，全铜安全气阀，及摇摆水龙头；</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—炉角以Φ60*1.0mm不锈钢管制作，加装重力调节脚；35000KCAL*1/HR；</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2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双门燃气蒸饭车</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1430*700*1690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—采用优不锈钢制造，豪华美观，坚固耐用；                                   —聚氨酯发泡工艺，保温、隔热、节能、环保；                                           —自动进水，缺水自给，满水自停；                                       —新型多气囊嵌入式硅胶门封，密闭性能更强；独特渐时式门锁设计，结构更牢固，使用更方便；                             </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—冷热水隔离技术，功率更低，使用更节能；                                                      —一次性钣金冲压成型底盘，门板侧板工位化，强度更高，安装更精准；</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3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油网烟罩            （主厨房）</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14000*1300*500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—采用SUS201优质不锈钢板制作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—主料1.0mm加强处理，配炉灶用于集油烟</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—双层滤油板、集油杯、防爆灯</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4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镀锌管道</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iCs w:val="0"/>
                <w:color w:val="000000"/>
                <w:sz w:val="24"/>
                <w:szCs w:val="24"/>
                <w:u w:val="none"/>
              </w:rPr>
            </w:pP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—采用优质不锈钢板材制造；</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—机制，ACL压轧加强槽线，共板法兰，内填充防油材料</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—主料1.0㎜，辅料1.0㎜板料；</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平方</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150</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5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低空油烟净化器</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处理风量40000立方</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1.油烟净化器产品制造商获得中国环境保护产品认证证书（CCEP）及满足当地环保要求</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2.油烟净化器为保证净化效率不低于95%，静电集成板需采用双滤芯双极净化，不能采用单滤芯净化。</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3.为了保证使用中的安全性，极板内绝缘陶瓷通过体积密度、抗折密度、体积电阻率、热稳定性检测，直流击穿强度需大于45KV/mm.</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1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6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柜式离心通风机</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15KW</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—风机采用传动方式为皮带传动，其优点是可以通过带轮变速来调整风量风压</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—引进高端品牌轴承，轴承座在使用中无需加注润滑油，质量和使用寿命更有保障。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—风机外壳烤漆处理，设有放油孔，安装时接驳一条油管可使液体的积油从放油咀流出，从而减少清理积油的次数</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—机壳上设计清理门，用户可在不拆开风机的情况下，只需打开清理门就能对叶轮进行清理和维护，省时省力。</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7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变频控制柜</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15KW</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—优质钢板内外烤漆外壳；配电机缺相过载保护装置。</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8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四门直冷单温冷冻高身柜</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121O*76O*198O</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—采用进口压缩机-高效节能</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—全铜管制冷系统-导热好，耐用</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—R134a制冷剂、环戊烷发泡剂-环保</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—电子式控制器-操作方便，精度高</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—一体发泡技术-密封好，操作方便</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—温度范围为-18~-10°。（此配置要求响应食药局要求，冷冻柜须达到零下18度）</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9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双星水池</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1200*760*800+100*20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—采用优质SUS201/2B不锈钢板制作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—面板δ1.0mm，洗池δ1.0mm圆角模压成型；</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—前置台面下封板至水斗底部；</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—立柱为Φ38不锈钢管，配不锈钢子弹调节脚。</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10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搅拌机</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B-30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—搅拌钩与缸底间隙小2—3mm</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—搅拌钩以特殊材料及工艺制造，永不变形，不锈钢料桶一次搅拌面粉；                                                                   —电功率：220/380/1.0KW</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11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压面机</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MT-30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—面团输送、折叠、揉压自动完成</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—最大压面能力：100KG/小时</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—喷漆外壳，接触食品部件为不锈钢或符合食品卫生材料生产部件                                                —功率：220V/1.1KW</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12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木面工作台</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1800*800*800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产地品牌：厂制品                                    </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—采用优质SUS201/2B不锈钢板制作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—台面为50mm厚高质按木，支架采用50×50×1.0mm矩形管配减震胶垫</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—立柱为</w:t>
            </w:r>
            <w:r>
              <w:rPr>
                <w:rStyle w:val="16"/>
                <w:rFonts w:eastAsia="仿宋"/>
                <w:bdr w:val="none" w:color="auto" w:sz="0" w:space="0"/>
                <w:lang w:val="en-US" w:eastAsia="zh-CN" w:bidi="ar"/>
              </w:rPr>
              <w:t>Ø</w:t>
            </w:r>
            <w:r>
              <w:rPr>
                <w:rStyle w:val="17"/>
                <w:bdr w:val="none" w:color="auto" w:sz="0" w:space="0"/>
                <w:lang w:val="en-US" w:eastAsia="zh-CN" w:bidi="ar"/>
              </w:rPr>
              <w:t xml:space="preserve">38*1.0mm不锈钢管 </w:t>
            </w:r>
            <w:r>
              <w:rPr>
                <w:rStyle w:val="17"/>
                <w:bdr w:val="none" w:color="auto" w:sz="0" w:space="0"/>
                <w:lang w:val="en-US" w:eastAsia="zh-CN" w:bidi="ar"/>
              </w:rPr>
              <w:br w:type="textWrapping"/>
            </w:r>
            <w:r>
              <w:rPr>
                <w:rStyle w:val="17"/>
                <w:bdr w:val="none" w:color="auto" w:sz="0" w:space="0"/>
                <w:lang w:val="en-US" w:eastAsia="zh-CN" w:bidi="ar"/>
              </w:rPr>
              <w:t>—配不锈钢子弹调节脚。</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13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双层平板工作台</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1200*700*800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—采用优质SUS201/2B不锈钢板制造；</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—台面用料厚度1.0mm，加强筋1.0mm；</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 xml:space="preserve">—层板1.0mm，加强筋1.0mm；                     </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—立柱Φ38×1.0mm不锈钢圆管,配调节脚;</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14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四层平板货架</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1200*500*1550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—采用优质SUS201/2B不锈钢板制作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—骨架采δ1.0mm，层板为1.0mm厚的磨砂贴膜不锈钢板</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—立柱为Φ38不锈钢管，配不锈钢可调子弹脚。</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15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大米架</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1200*500*300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—采用优质SUS201/2B不锈钢板制作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—骨架采δ1.0mm，层板为矩形方管，格栅</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—立柱为不锈钢方管。</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16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五格保温台</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1800*700*800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 xml:space="preserve">—采用优质SUS201/2B不锈钢板制作，配备食品级不锈钢保温分数盆；                                                     —立柱为Φ38无缝不锈钢圆管制作；                         </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 xml:space="preserve">—配优质不锈钢可调子弹脚×4；                     </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电功率：220V/3KW</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17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留样柜</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450*500*1200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—采用不锈钢板制作； </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—本产品采用合资压缩机；                            —厚度为0.8mm,整体发泡，使用铜管；                   —温度范围为+5℃~-5℃，-6℃~-12℃，内藏式制冷铜管，液晶温度显示；                                        —配优质万向脚轮；</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电功率：220V/0.7KW</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18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双门热风循环消毒柜</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1380*680*1800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—采用优质不锈钢制作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热风循环发泡商用消毒柜是经过多方技术融合，根据大型饮食场所所需求所设计的大空间消毒设备—超大功率消毒，100摄氏度立体循环风高温杀菌、杀毒效果彻底、无死角；适合各种大型酒店、宾馆、食堂等场所；</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—安全的超高温保险防止意外操作失误造成的不必要的损失；新颖的西式欧款设计，美观大方、安全可靠</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—电功率：220V/4.4KW</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5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19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四层格栅货架</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1200*500*1550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—采用优质SUS201/2B不锈钢板制作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—骨架采δ1.0mm，层板为矩形方管，格栅</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—立柱为Φ38不锈钢管，配不锈钢可调子弹脚。</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20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翻门保洁柜</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1200*500*1800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产地品牌：厂制品</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—优质SUS201/2B不锈钢冷轧板制造，要求柜壳1.0mm，加强筋1.0mm；</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—配不锈钢Φ51×1.0mm锥形管配4套重力调节脚。</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—设两层层板，配不锈钢子弹调节脚。</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6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21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双缸柜式炸炉</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700*900*940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—升温快，温控范围大，均匀受热；</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—IPX4标准防水设计，四面可直接喷淋；</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—旋钮式温度调节，可调温度50~190℃，调温更加简单、精确；</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—独有宽电压设计，电网适应性强，确保设备正常工作；</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—高档不锈钢立体三防保护、防辐射机壳设计；</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—一体成型台面设计，框架结构设计，安全可靠，容易清洁。                                                   —额定功率380V/12KW*2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22 </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电饼铛</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YXD-45</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—采用上下铛设有不同温度档位，可同时加热也可单独使用下档加热，独立控档；                                      —上下档结构严密在烙制食品过程中保证食品的松软度；保持传统风味；                                       —具有绝缘性、可靠性、升温快、使用寿命长、维修方便等特点；带电部件采取双重绝缘，安全性能好；</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—电功率：220V/5KW</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8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23 </w:t>
            </w:r>
          </w:p>
        </w:tc>
        <w:tc>
          <w:tcPr>
            <w:tcW w:w="15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煮面炉</w:t>
            </w:r>
          </w:p>
        </w:tc>
        <w:tc>
          <w:tcPr>
            <w:tcW w:w="20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60型</w:t>
            </w:r>
          </w:p>
        </w:tc>
        <w:tc>
          <w:tcPr>
            <w:tcW w:w="26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—采用上下铛设有不同温度档位，可同时加热也可单独使用下档加热，独立控档；                                      —上下档结构严密在烙制食品过程中保证食品的松软度；保持传统风味；                                       —具有绝缘性、可靠性、升温快、使用寿命长、维修方便等特点；带电部件采取双重绝缘，安全性能好；</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—电功率：380V/12KW</w:t>
            </w:r>
          </w:p>
        </w:tc>
        <w:tc>
          <w:tcPr>
            <w:tcW w:w="7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24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全自动电热开水器</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9KW60L</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—步进式加热方式，电脑板控制，逐层进水，逐层加热，水不开不出水，出水100%纯开水。加热时内胆压力为零，有效保障内胆工作安全和使用寿命。</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—12v低压控制系统，安全放心。可根据用户需求安装自排水功能，可根据安装需要提供无下水安装设备。</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—机器工作状态显示时间、温度、加热状态、故障代码、电脑程控，触摸动态显示，出水温度40-100度自由设定，可自由设定多个工作时间段，每个时间段温度可单独控制，使用更节能，出水更健康。</w:t>
            </w:r>
            <w:r>
              <w:rPr>
                <w:rFonts w:hint="eastAsia" w:ascii="仿宋" w:hAnsi="仿宋" w:eastAsia="仿宋" w:cs="仿宋"/>
                <w:i w:val="0"/>
                <w:iCs w:val="0"/>
                <w:color w:val="000000"/>
                <w:kern w:val="0"/>
                <w:sz w:val="24"/>
                <w:szCs w:val="24"/>
                <w:u w:val="none"/>
                <w:bdr w:val="none" w:color="auto" w:sz="0" w:space="0"/>
                <w:lang w:val="en-US" w:eastAsia="zh-CN" w:bidi="ar"/>
              </w:rPr>
              <w:br w:type="textWrapping"/>
            </w:r>
            <w:r>
              <w:rPr>
                <w:rFonts w:hint="eastAsia" w:ascii="仿宋" w:hAnsi="仿宋" w:eastAsia="仿宋" w:cs="仿宋"/>
                <w:i w:val="0"/>
                <w:iCs w:val="0"/>
                <w:color w:val="000000"/>
                <w:kern w:val="0"/>
                <w:sz w:val="24"/>
                <w:szCs w:val="24"/>
                <w:u w:val="none"/>
                <w:bdr w:val="none" w:color="auto" w:sz="0" w:space="0"/>
                <w:lang w:val="en-US" w:eastAsia="zh-CN" w:bidi="ar"/>
              </w:rPr>
              <w:t>—机器一键智能变容，满足高峰和低谷用水，节约用电。</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045"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25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和面机</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25KG</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—采用优质不锈钢板制作，配大功率电机，用皮带传动确保长时间工作的效率；                                  —电功率：380V/3KW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20" w:hRule="atLeast"/>
        </w:trPr>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 xml:space="preserve">26 </w:t>
            </w:r>
          </w:p>
        </w:tc>
        <w:tc>
          <w:tcPr>
            <w:tcW w:w="15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燃气矮仔炉</w:t>
            </w:r>
          </w:p>
        </w:tc>
        <w:tc>
          <w:tcPr>
            <w:tcW w:w="2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700*700*600</w:t>
            </w:r>
          </w:p>
        </w:tc>
        <w:tc>
          <w:tcPr>
            <w:tcW w:w="26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主板采用1.2mm不锈钢板；配广东强力猛火炉头，面座活动扁铁炉花铸铁制造； 炉头：9＂文华炉头及气制、气管、火种、火种制组成。炉脚采用Φ51×1.0mm不锈钢管制作，配不锈钢调节脚。配自动熄火保护装置。★1.具有地市级及以上检测机构出具的气源适配性检测合格的检验报告，提供具有 CMA 标识的(带有二维码可查询）第三方有权机构出具的检测报告扫描件加以证明。★ 2.依据GB35848-2018标准对运行噪声≤58dB(A)、干烟气中CO≤0.006、无熄火噪声，热电熄火保护装置开阀时间≤17.5s、闭阀≤16.5s，提供具有 CMA 标识的(带有二维码可查询）省级质检机构出具的所投产品的检测报告扫描件加以证明。</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台</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1005"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025"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261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79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90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960"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840"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005"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noWrap/>
            <w:vAlign w:val="center"/>
          </w:tcPr>
          <w:p>
            <w:pPr>
              <w:rPr>
                <w:rFonts w:hint="eastAsia" w:ascii="仿宋" w:hAnsi="仿宋" w:eastAsia="仿宋" w:cstheme="minorBidi"/>
                <w:b/>
                <w:bCs w:val="0"/>
                <w:kern w:val="2"/>
                <w:sz w:val="22"/>
                <w:szCs w:val="22"/>
                <w:u w:val="none"/>
                <w:lang w:val="en-US" w:eastAsia="zh-CN" w:bidi="ar-SA"/>
              </w:rPr>
            </w:pPr>
            <w:r>
              <w:rPr>
                <w:rFonts w:hint="eastAsia" w:ascii="仿宋" w:hAnsi="仿宋" w:eastAsia="仿宋" w:cstheme="minorBidi"/>
                <w:b/>
                <w:bCs w:val="0"/>
                <w:kern w:val="2"/>
                <w:sz w:val="22"/>
                <w:szCs w:val="22"/>
                <w:u w:val="none"/>
                <w:lang w:val="en-US" w:eastAsia="zh-CN" w:bidi="ar-SA"/>
              </w:rPr>
              <w:t>公司（盖章）：</w:t>
            </w:r>
          </w:p>
        </w:tc>
        <w:tc>
          <w:tcPr>
            <w:tcW w:w="2025" w:type="dxa"/>
            <w:tcBorders>
              <w:top w:val="nil"/>
              <w:left w:val="nil"/>
              <w:bottom w:val="nil"/>
              <w:right w:val="nil"/>
            </w:tcBorders>
            <w:shd w:val="clear"/>
            <w:noWrap/>
            <w:vAlign w:val="bottom"/>
          </w:tcPr>
          <w:p>
            <w:pPr>
              <w:rPr>
                <w:rFonts w:hint="default" w:ascii="仿宋" w:hAnsi="仿宋" w:eastAsia="仿宋" w:cstheme="minorBidi"/>
                <w:b/>
                <w:bCs w:val="0"/>
                <w:kern w:val="2"/>
                <w:sz w:val="22"/>
                <w:szCs w:val="22"/>
                <w:u w:val="none"/>
                <w:lang w:val="en-US" w:eastAsia="zh-CN" w:bidi="ar-SA"/>
              </w:rPr>
            </w:pPr>
            <w:r>
              <w:rPr>
                <w:rFonts w:hint="eastAsia" w:ascii="仿宋" w:hAnsi="仿宋" w:eastAsia="仿宋" w:cstheme="minorBidi"/>
                <w:b/>
                <w:bCs w:val="0"/>
                <w:kern w:val="2"/>
                <w:sz w:val="22"/>
                <w:szCs w:val="22"/>
                <w:u w:val="none"/>
                <w:lang w:val="en-US" w:eastAsia="zh-CN" w:bidi="ar-SA"/>
              </w:rPr>
              <w:t xml:space="preserve">       联系方式：</w:t>
            </w:r>
          </w:p>
        </w:tc>
        <w:tc>
          <w:tcPr>
            <w:tcW w:w="2610" w:type="dxa"/>
            <w:tcBorders>
              <w:top w:val="nil"/>
              <w:left w:val="nil"/>
              <w:bottom w:val="nil"/>
              <w:right w:val="nil"/>
            </w:tcBorders>
            <w:shd w:val="clear"/>
            <w:noWrap/>
            <w:vAlign w:val="center"/>
          </w:tcPr>
          <w:p>
            <w:pPr>
              <w:rPr>
                <w:rFonts w:hint="default" w:ascii="仿宋" w:hAnsi="仿宋" w:eastAsia="仿宋" w:cstheme="minorBidi"/>
                <w:b/>
                <w:bCs w:val="0"/>
                <w:kern w:val="2"/>
                <w:sz w:val="22"/>
                <w:szCs w:val="22"/>
                <w:u w:val="none"/>
                <w:lang w:val="en-US" w:eastAsia="zh-CN" w:bidi="ar-SA"/>
              </w:rPr>
            </w:pPr>
            <w:r>
              <w:rPr>
                <w:rFonts w:hint="eastAsia" w:ascii="仿宋" w:hAnsi="仿宋" w:eastAsia="仿宋" w:cstheme="minorBidi"/>
                <w:b/>
                <w:bCs w:val="0"/>
                <w:kern w:val="2"/>
                <w:sz w:val="22"/>
                <w:szCs w:val="22"/>
                <w:u w:val="none"/>
                <w:lang w:val="en-US" w:eastAsia="zh-CN" w:bidi="ar-SA"/>
              </w:rPr>
              <w:t xml:space="preserve">     总价：</w:t>
            </w:r>
          </w:p>
        </w:tc>
        <w:tc>
          <w:tcPr>
            <w:tcW w:w="79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90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960"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840"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005"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7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151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2025"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261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795"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900" w:type="dxa"/>
            <w:tcBorders>
              <w:top w:val="nil"/>
              <w:left w:val="nil"/>
              <w:bottom w:val="nil"/>
              <w:right w:val="nil"/>
            </w:tcBorders>
            <w:shd w:val="clear"/>
            <w:noWrap/>
            <w:vAlign w:val="center"/>
          </w:tcPr>
          <w:p>
            <w:pPr>
              <w:rPr>
                <w:rFonts w:hint="eastAsia" w:ascii="宋体" w:hAnsi="宋体" w:eastAsia="宋体" w:cs="宋体"/>
                <w:i w:val="0"/>
                <w:iCs w:val="0"/>
                <w:color w:val="000000"/>
                <w:sz w:val="24"/>
                <w:szCs w:val="24"/>
                <w:u w:val="none"/>
              </w:rPr>
            </w:pPr>
          </w:p>
        </w:tc>
        <w:tc>
          <w:tcPr>
            <w:tcW w:w="960"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840"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c>
          <w:tcPr>
            <w:tcW w:w="1005" w:type="dxa"/>
            <w:tcBorders>
              <w:top w:val="nil"/>
              <w:left w:val="nil"/>
              <w:bottom w:val="nil"/>
              <w:right w:val="nil"/>
            </w:tcBorders>
            <w:shd w:val="clear"/>
            <w:noWrap/>
            <w:vAlign w:val="bottom"/>
          </w:tcPr>
          <w:p>
            <w:pPr>
              <w:rPr>
                <w:rFonts w:hint="eastAsia" w:ascii="宋体" w:hAnsi="宋体" w:eastAsia="宋体" w:cs="宋体"/>
                <w:i w:val="0"/>
                <w:iCs w:val="0"/>
                <w:color w:val="000000"/>
                <w:sz w:val="24"/>
                <w:szCs w:val="24"/>
                <w:u w:val="none"/>
              </w:rPr>
            </w:pPr>
          </w:p>
        </w:tc>
      </w:tr>
    </w:tbl>
    <w:p>
      <w:pPr>
        <w:spacing w:line="280" w:lineRule="exact"/>
        <w:rPr>
          <w:rFonts w:ascii="仿宋" w:hAnsi="仿宋" w:eastAsia="仿宋"/>
          <w:szCs w:val="21"/>
        </w:rPr>
      </w:pPr>
    </w:p>
    <w:sectPr>
      <w:footerReference r:id="rId3" w:type="default"/>
      <w:pgSz w:w="11906" w:h="16838"/>
      <w:pgMar w:top="1134" w:right="62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9"/>
      <w:numFmt w:val="decimal"/>
      <w:pStyle w:val="14"/>
      <w:suff w:val="space"/>
      <w:lvlText w:val="%1."/>
      <w:lvlJc w:val="left"/>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F40F9"/>
    <w:rsid w:val="000F729B"/>
    <w:rsid w:val="000F74F7"/>
    <w:rsid w:val="001018DA"/>
    <w:rsid w:val="00103C1B"/>
    <w:rsid w:val="00105146"/>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D3C54"/>
    <w:rsid w:val="002E5FE9"/>
    <w:rsid w:val="002F1DC9"/>
    <w:rsid w:val="002F4594"/>
    <w:rsid w:val="002F46AF"/>
    <w:rsid w:val="003035B7"/>
    <w:rsid w:val="00305A35"/>
    <w:rsid w:val="00307C82"/>
    <w:rsid w:val="0031412D"/>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A0993"/>
    <w:rsid w:val="004A5436"/>
    <w:rsid w:val="004B1150"/>
    <w:rsid w:val="004B3164"/>
    <w:rsid w:val="004B3DBC"/>
    <w:rsid w:val="004B5CAC"/>
    <w:rsid w:val="004C1CF2"/>
    <w:rsid w:val="004C4760"/>
    <w:rsid w:val="004C6035"/>
    <w:rsid w:val="004D5C73"/>
    <w:rsid w:val="004E1B33"/>
    <w:rsid w:val="004E2A85"/>
    <w:rsid w:val="00511A86"/>
    <w:rsid w:val="00514522"/>
    <w:rsid w:val="005145B6"/>
    <w:rsid w:val="005155A7"/>
    <w:rsid w:val="005158E8"/>
    <w:rsid w:val="00523A9D"/>
    <w:rsid w:val="0052437C"/>
    <w:rsid w:val="0052798A"/>
    <w:rsid w:val="00545065"/>
    <w:rsid w:val="005612E4"/>
    <w:rsid w:val="00566A3D"/>
    <w:rsid w:val="00575D2D"/>
    <w:rsid w:val="00577E01"/>
    <w:rsid w:val="0058339A"/>
    <w:rsid w:val="00596FF5"/>
    <w:rsid w:val="00597228"/>
    <w:rsid w:val="0059737C"/>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2200"/>
    <w:rsid w:val="007B2BF5"/>
    <w:rsid w:val="007B44F5"/>
    <w:rsid w:val="007C0F20"/>
    <w:rsid w:val="007C64E2"/>
    <w:rsid w:val="007C77D2"/>
    <w:rsid w:val="007D128C"/>
    <w:rsid w:val="007F1FF3"/>
    <w:rsid w:val="007F72EE"/>
    <w:rsid w:val="0080420A"/>
    <w:rsid w:val="008056D0"/>
    <w:rsid w:val="00811886"/>
    <w:rsid w:val="00824B71"/>
    <w:rsid w:val="00847753"/>
    <w:rsid w:val="00847A3B"/>
    <w:rsid w:val="0085631E"/>
    <w:rsid w:val="00864B32"/>
    <w:rsid w:val="00865BB3"/>
    <w:rsid w:val="00874654"/>
    <w:rsid w:val="00881362"/>
    <w:rsid w:val="00882830"/>
    <w:rsid w:val="00890A8A"/>
    <w:rsid w:val="0089602A"/>
    <w:rsid w:val="008A6728"/>
    <w:rsid w:val="008B0511"/>
    <w:rsid w:val="008B5062"/>
    <w:rsid w:val="008D74CA"/>
    <w:rsid w:val="008F3959"/>
    <w:rsid w:val="008F4405"/>
    <w:rsid w:val="00903E1D"/>
    <w:rsid w:val="00905854"/>
    <w:rsid w:val="0091705B"/>
    <w:rsid w:val="00917314"/>
    <w:rsid w:val="00917684"/>
    <w:rsid w:val="00927E50"/>
    <w:rsid w:val="00932055"/>
    <w:rsid w:val="00934412"/>
    <w:rsid w:val="0094514A"/>
    <w:rsid w:val="0097447A"/>
    <w:rsid w:val="0098543F"/>
    <w:rsid w:val="009865B1"/>
    <w:rsid w:val="00986D55"/>
    <w:rsid w:val="00993FE8"/>
    <w:rsid w:val="00996932"/>
    <w:rsid w:val="009B0355"/>
    <w:rsid w:val="009B36A3"/>
    <w:rsid w:val="009B70B7"/>
    <w:rsid w:val="009E2359"/>
    <w:rsid w:val="009E4466"/>
    <w:rsid w:val="00A024EE"/>
    <w:rsid w:val="00A069B9"/>
    <w:rsid w:val="00A11A36"/>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7257F"/>
    <w:rsid w:val="00D80CC2"/>
    <w:rsid w:val="00DA4FE2"/>
    <w:rsid w:val="00DB09D0"/>
    <w:rsid w:val="00DB3885"/>
    <w:rsid w:val="00DD5B7C"/>
    <w:rsid w:val="00DD79ED"/>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6D0C"/>
    <w:rsid w:val="00EA6D84"/>
    <w:rsid w:val="00EB5340"/>
    <w:rsid w:val="00EB7E92"/>
    <w:rsid w:val="00EC0382"/>
    <w:rsid w:val="00EC45C7"/>
    <w:rsid w:val="00EC61EC"/>
    <w:rsid w:val="00EC6457"/>
    <w:rsid w:val="00ED4994"/>
    <w:rsid w:val="00ED6ABB"/>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8C3AAC"/>
    <w:rsid w:val="02FD2A99"/>
    <w:rsid w:val="03162918"/>
    <w:rsid w:val="03250779"/>
    <w:rsid w:val="032A2E76"/>
    <w:rsid w:val="032F53C7"/>
    <w:rsid w:val="03C97D13"/>
    <w:rsid w:val="046F708F"/>
    <w:rsid w:val="047A164B"/>
    <w:rsid w:val="047C479E"/>
    <w:rsid w:val="04BE4ABB"/>
    <w:rsid w:val="056B1321"/>
    <w:rsid w:val="058F7ED5"/>
    <w:rsid w:val="05B61689"/>
    <w:rsid w:val="064A2CE4"/>
    <w:rsid w:val="06F66A9B"/>
    <w:rsid w:val="07AF1FB4"/>
    <w:rsid w:val="080C3738"/>
    <w:rsid w:val="081F2DB2"/>
    <w:rsid w:val="086253B7"/>
    <w:rsid w:val="091329AD"/>
    <w:rsid w:val="09135C29"/>
    <w:rsid w:val="0A1730E8"/>
    <w:rsid w:val="0A203C23"/>
    <w:rsid w:val="0AB32F3C"/>
    <w:rsid w:val="0AC56166"/>
    <w:rsid w:val="0AFC6D92"/>
    <w:rsid w:val="0B1F4CC9"/>
    <w:rsid w:val="0B4418D4"/>
    <w:rsid w:val="0BBB58C2"/>
    <w:rsid w:val="0C0F5353"/>
    <w:rsid w:val="0C32096A"/>
    <w:rsid w:val="0C476F17"/>
    <w:rsid w:val="0C7E360B"/>
    <w:rsid w:val="0C820673"/>
    <w:rsid w:val="0C9B1482"/>
    <w:rsid w:val="0D485FCF"/>
    <w:rsid w:val="0D5D409D"/>
    <w:rsid w:val="0D86358A"/>
    <w:rsid w:val="0E0B2DA3"/>
    <w:rsid w:val="0EEF0F83"/>
    <w:rsid w:val="0F014E92"/>
    <w:rsid w:val="0F1E3A54"/>
    <w:rsid w:val="0F3C791F"/>
    <w:rsid w:val="0F966E56"/>
    <w:rsid w:val="10551A84"/>
    <w:rsid w:val="105E5829"/>
    <w:rsid w:val="107D4AA0"/>
    <w:rsid w:val="10B05A5F"/>
    <w:rsid w:val="10FD56B0"/>
    <w:rsid w:val="11035FCE"/>
    <w:rsid w:val="11286FF8"/>
    <w:rsid w:val="11A33589"/>
    <w:rsid w:val="11C40F77"/>
    <w:rsid w:val="11CC5345"/>
    <w:rsid w:val="11D904C6"/>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93F0899"/>
    <w:rsid w:val="1A0260CE"/>
    <w:rsid w:val="1A652E65"/>
    <w:rsid w:val="1A7937AC"/>
    <w:rsid w:val="1A8F6DD6"/>
    <w:rsid w:val="1AC057F3"/>
    <w:rsid w:val="1B101758"/>
    <w:rsid w:val="1B9F31F9"/>
    <w:rsid w:val="1BD75F88"/>
    <w:rsid w:val="1BD91B12"/>
    <w:rsid w:val="1D2B387D"/>
    <w:rsid w:val="1D3A482F"/>
    <w:rsid w:val="1D5D0BCD"/>
    <w:rsid w:val="1DA42EB1"/>
    <w:rsid w:val="1DE06805"/>
    <w:rsid w:val="1DF36129"/>
    <w:rsid w:val="1DF93C7B"/>
    <w:rsid w:val="1E41352B"/>
    <w:rsid w:val="1EA53CFF"/>
    <w:rsid w:val="1F186F98"/>
    <w:rsid w:val="1FCB2AEC"/>
    <w:rsid w:val="1FDF6783"/>
    <w:rsid w:val="209C2D0F"/>
    <w:rsid w:val="20AE1D18"/>
    <w:rsid w:val="20C0486A"/>
    <w:rsid w:val="20CC5612"/>
    <w:rsid w:val="21156130"/>
    <w:rsid w:val="219B39E2"/>
    <w:rsid w:val="21C645C7"/>
    <w:rsid w:val="21D63524"/>
    <w:rsid w:val="221F22B3"/>
    <w:rsid w:val="2233022B"/>
    <w:rsid w:val="22421C49"/>
    <w:rsid w:val="22426CD1"/>
    <w:rsid w:val="22E90E34"/>
    <w:rsid w:val="23035A4C"/>
    <w:rsid w:val="231D1DD1"/>
    <w:rsid w:val="233B51A7"/>
    <w:rsid w:val="235130BE"/>
    <w:rsid w:val="23EE25BB"/>
    <w:rsid w:val="23F938FE"/>
    <w:rsid w:val="25552E7D"/>
    <w:rsid w:val="25720D38"/>
    <w:rsid w:val="25CB2A80"/>
    <w:rsid w:val="25E05DF6"/>
    <w:rsid w:val="263225F6"/>
    <w:rsid w:val="264C3185"/>
    <w:rsid w:val="27E16F51"/>
    <w:rsid w:val="28102089"/>
    <w:rsid w:val="28632016"/>
    <w:rsid w:val="2873238A"/>
    <w:rsid w:val="28C732A1"/>
    <w:rsid w:val="28F516D7"/>
    <w:rsid w:val="29194CF5"/>
    <w:rsid w:val="29977838"/>
    <w:rsid w:val="2A1C3CD3"/>
    <w:rsid w:val="2AC8553F"/>
    <w:rsid w:val="2B914D75"/>
    <w:rsid w:val="2BE07BE3"/>
    <w:rsid w:val="2CAF5180"/>
    <w:rsid w:val="2CB30A73"/>
    <w:rsid w:val="2CBF2091"/>
    <w:rsid w:val="2D286742"/>
    <w:rsid w:val="2D542A2A"/>
    <w:rsid w:val="2D656A67"/>
    <w:rsid w:val="2E19748C"/>
    <w:rsid w:val="2E4209D9"/>
    <w:rsid w:val="2E616B37"/>
    <w:rsid w:val="2EFB29F1"/>
    <w:rsid w:val="2F1E291D"/>
    <w:rsid w:val="2F620C2E"/>
    <w:rsid w:val="30042440"/>
    <w:rsid w:val="30467FFD"/>
    <w:rsid w:val="3069004A"/>
    <w:rsid w:val="30716F06"/>
    <w:rsid w:val="30B13EB7"/>
    <w:rsid w:val="30E600AF"/>
    <w:rsid w:val="30F17F41"/>
    <w:rsid w:val="311938B0"/>
    <w:rsid w:val="315B210C"/>
    <w:rsid w:val="3164112A"/>
    <w:rsid w:val="31CC76FF"/>
    <w:rsid w:val="31F172F6"/>
    <w:rsid w:val="32905CAB"/>
    <w:rsid w:val="32B51A27"/>
    <w:rsid w:val="32FA6504"/>
    <w:rsid w:val="330A11E9"/>
    <w:rsid w:val="335210D7"/>
    <w:rsid w:val="33D54BEA"/>
    <w:rsid w:val="34E12746"/>
    <w:rsid w:val="355A5092"/>
    <w:rsid w:val="356C1CB1"/>
    <w:rsid w:val="357E5017"/>
    <w:rsid w:val="358D3127"/>
    <w:rsid w:val="35A119F9"/>
    <w:rsid w:val="35E52E60"/>
    <w:rsid w:val="362339C7"/>
    <w:rsid w:val="367F3DA1"/>
    <w:rsid w:val="36AC7731"/>
    <w:rsid w:val="36F1454D"/>
    <w:rsid w:val="37CF3484"/>
    <w:rsid w:val="37D710BC"/>
    <w:rsid w:val="37E17463"/>
    <w:rsid w:val="384637F8"/>
    <w:rsid w:val="38DC31DA"/>
    <w:rsid w:val="3A636FDD"/>
    <w:rsid w:val="3A7537C9"/>
    <w:rsid w:val="3B126CF0"/>
    <w:rsid w:val="3B354EAA"/>
    <w:rsid w:val="3B927DA6"/>
    <w:rsid w:val="3BC12604"/>
    <w:rsid w:val="3C36245C"/>
    <w:rsid w:val="3C5820D4"/>
    <w:rsid w:val="3C5D298C"/>
    <w:rsid w:val="3C60338E"/>
    <w:rsid w:val="3C840FCA"/>
    <w:rsid w:val="3CA90ECD"/>
    <w:rsid w:val="3CAE4D3F"/>
    <w:rsid w:val="3D3943C1"/>
    <w:rsid w:val="3DBA0CE8"/>
    <w:rsid w:val="3DC926AD"/>
    <w:rsid w:val="3E291783"/>
    <w:rsid w:val="3F253EC2"/>
    <w:rsid w:val="3FDE6FD5"/>
    <w:rsid w:val="4015650F"/>
    <w:rsid w:val="40676830"/>
    <w:rsid w:val="40F06215"/>
    <w:rsid w:val="411101D9"/>
    <w:rsid w:val="41391759"/>
    <w:rsid w:val="415E262D"/>
    <w:rsid w:val="41910EE4"/>
    <w:rsid w:val="41B80523"/>
    <w:rsid w:val="41BC551E"/>
    <w:rsid w:val="421279E6"/>
    <w:rsid w:val="423F3439"/>
    <w:rsid w:val="42611F54"/>
    <w:rsid w:val="427E62A6"/>
    <w:rsid w:val="42985C27"/>
    <w:rsid w:val="42C1143C"/>
    <w:rsid w:val="42D57D44"/>
    <w:rsid w:val="434D63C0"/>
    <w:rsid w:val="434D745C"/>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C250F27"/>
    <w:rsid w:val="4C7235CD"/>
    <w:rsid w:val="4CFC11EA"/>
    <w:rsid w:val="4D0000F3"/>
    <w:rsid w:val="4D2E6FC3"/>
    <w:rsid w:val="4D491AF0"/>
    <w:rsid w:val="4D4A1B0C"/>
    <w:rsid w:val="4DAE1E85"/>
    <w:rsid w:val="4DC376D1"/>
    <w:rsid w:val="4E682070"/>
    <w:rsid w:val="4F413B09"/>
    <w:rsid w:val="4F792DCA"/>
    <w:rsid w:val="4F8F10A2"/>
    <w:rsid w:val="4F9D25EA"/>
    <w:rsid w:val="4FAA2E71"/>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5C5E10"/>
    <w:rsid w:val="56605C0D"/>
    <w:rsid w:val="566C55F5"/>
    <w:rsid w:val="568C5B7C"/>
    <w:rsid w:val="5719718C"/>
    <w:rsid w:val="576F4F06"/>
    <w:rsid w:val="58780095"/>
    <w:rsid w:val="58F451C8"/>
    <w:rsid w:val="599704D6"/>
    <w:rsid w:val="5B1220CD"/>
    <w:rsid w:val="5B2F1CB7"/>
    <w:rsid w:val="5BF92FB6"/>
    <w:rsid w:val="5C207A49"/>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C35ECC"/>
    <w:rsid w:val="6200624D"/>
    <w:rsid w:val="622412A8"/>
    <w:rsid w:val="624152A8"/>
    <w:rsid w:val="62717F29"/>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656DD9"/>
    <w:rsid w:val="6B0928F1"/>
    <w:rsid w:val="6BA52303"/>
    <w:rsid w:val="6CBA018C"/>
    <w:rsid w:val="6CD67BD4"/>
    <w:rsid w:val="6D302D7C"/>
    <w:rsid w:val="6D9E2518"/>
    <w:rsid w:val="6DBA7B46"/>
    <w:rsid w:val="6E77495A"/>
    <w:rsid w:val="6EC800BC"/>
    <w:rsid w:val="6FB73BE7"/>
    <w:rsid w:val="6FC74F89"/>
    <w:rsid w:val="6FC82399"/>
    <w:rsid w:val="6FE93FCD"/>
    <w:rsid w:val="70120CD3"/>
    <w:rsid w:val="705B2C76"/>
    <w:rsid w:val="70CB34AB"/>
    <w:rsid w:val="70F17567"/>
    <w:rsid w:val="710A4F1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E45BE"/>
    <w:rsid w:val="7BDD0B1E"/>
    <w:rsid w:val="7C366122"/>
    <w:rsid w:val="7C693CA2"/>
    <w:rsid w:val="7C7062B2"/>
    <w:rsid w:val="7D4E23DA"/>
    <w:rsid w:val="7E3452EF"/>
    <w:rsid w:val="7E6601F9"/>
    <w:rsid w:val="7EC42D4A"/>
    <w:rsid w:val="7EE97DD9"/>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qFormat/>
    <w:uiPriority w:val="0"/>
    <w:rPr>
      <w:color w:val="000000"/>
      <w:u w:val="none"/>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正文1"/>
    <w:basedOn w:val="1"/>
    <w:qFormat/>
    <w:uiPriority w:val="0"/>
    <w:pPr>
      <w:numPr>
        <w:ilvl w:val="0"/>
        <w:numId w:val="1"/>
      </w:numPr>
      <w:tabs>
        <w:tab w:val="left" w:pos="360"/>
      </w:tabs>
      <w:spacing w:line="360" w:lineRule="auto"/>
      <w:ind w:left="357" w:hanging="357"/>
    </w:pPr>
    <w:rPr>
      <w:rFonts w:ascii="宋体" w:hAnsi="宋体" w:eastAsia="宋体" w:cs="Times New Roman"/>
      <w:color w:val="FF0000"/>
      <w:szCs w:val="24"/>
    </w:rPr>
  </w:style>
  <w:style w:type="character" w:customStyle="1" w:styleId="15">
    <w:name w:val="NormalCharacter"/>
    <w:qFormat/>
    <w:uiPriority w:val="0"/>
  </w:style>
  <w:style w:type="character" w:customStyle="1" w:styleId="16">
    <w:name w:val="font01"/>
    <w:basedOn w:val="10"/>
    <w:uiPriority w:val="0"/>
    <w:rPr>
      <w:rFonts w:ascii="Arial" w:hAnsi="Arial" w:cs="Arial"/>
      <w:color w:val="000000"/>
      <w:sz w:val="24"/>
      <w:szCs w:val="24"/>
      <w:u w:val="none"/>
    </w:rPr>
  </w:style>
  <w:style w:type="character" w:customStyle="1" w:styleId="17">
    <w:name w:val="font31"/>
    <w:basedOn w:val="10"/>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138</Words>
  <Characters>792</Characters>
  <Lines>6</Lines>
  <Paragraphs>1</Paragraphs>
  <TotalTime>18</TotalTime>
  <ScaleCrop>false</ScaleCrop>
  <LinksUpToDate>false</LinksUpToDate>
  <CharactersWithSpaces>929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2020-03-12T00:43:00Z</dcterms:created>
  <dc:creator>AutoBVT</dc:creator>
  <cp:lastModifiedBy>渡</cp:lastModifiedBy>
  <dcterms:modified xsi:type="dcterms:W3CDTF">2022-01-14T08:21:45Z</dcterms:modified>
  <cp:revision>1082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236EE8110CB74B6D96A171B8B9CB89FA</vt:lpwstr>
  </property>
</Properties>
</file>