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智能中药煎煮仪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080"/>
        <w:gridCol w:w="1995"/>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080"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9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外观尺寸</w:t>
            </w:r>
          </w:p>
        </w:tc>
        <w:tc>
          <w:tcPr>
            <w:tcW w:w="1995" w:type="dxa"/>
          </w:tcPr>
          <w:p>
            <w:pPr>
              <w:spacing w:line="320" w:lineRule="exact"/>
              <w:rPr>
                <w:rFonts w:ascii="仿宋" w:hAnsi="仿宋" w:eastAsia="仿宋"/>
                <w:b w:val="0"/>
                <w:bCs/>
                <w:szCs w:val="21"/>
              </w:rPr>
            </w:pPr>
            <w:r>
              <w:rPr>
                <w:rFonts w:hint="eastAsia" w:ascii="仿宋_GB2312" w:hAnsi="宋体" w:eastAsia="仿宋_GB2312" w:cs="宋体"/>
                <w:kern w:val="0"/>
                <w:sz w:val="24"/>
                <w:lang w:val="en-US" w:eastAsia="zh-CN"/>
              </w:rPr>
              <w:t>全不锈钢外壳</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工作环境</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220V±22V，50HZ±2HZ，室温：0～45℃，湿度≤80％RH，电击安全分类：Ⅰ类B型</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工作灶位任意设定</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10灶位，单机孔数</w:t>
            </w:r>
            <w:r>
              <w:rPr>
                <w:rFonts w:hint="eastAsia" w:ascii="仿宋_GB2312" w:hAnsi="宋体" w:eastAsia="仿宋_GB2312" w:cs="宋体"/>
                <w:kern w:val="0"/>
                <w:sz w:val="24"/>
                <w:lang w:val="en-US" w:eastAsia="zh-CN"/>
              </w:rPr>
              <w:tab/>
            </w:r>
            <w:r>
              <w:rPr>
                <w:rFonts w:hint="eastAsia" w:ascii="仿宋_GB2312" w:hAnsi="宋体" w:eastAsia="仿宋_GB2312" w:cs="宋体"/>
                <w:kern w:val="0"/>
                <w:sz w:val="24"/>
                <w:lang w:val="en-US" w:eastAsia="zh-CN"/>
              </w:rPr>
              <w:t>5×2  孔/排，每个灶位的电路相互独立</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GB"/>
              </w:rPr>
              <w:t>仪器材质</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全不锈钢材质，内置隔热板，仪器外部安全，锅灶易清洗、易干燥，不影响药物性质，使用寿命长</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内嵌式发热盘</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台面与加热盘为台面下凹嵌形式安装，可快速装卸，方便取放</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文火与武火任意可调</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蜂窝孔电热盘加热，手动或自动控制方式，文火、武火自动切换</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煎药容器</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不锈钢材料，锅具直径：23cm左右</w:t>
            </w:r>
            <w:bookmarkStart w:id="0" w:name="_GoBack"/>
            <w:bookmarkEnd w:id="0"/>
            <w:r>
              <w:rPr>
                <w:rFonts w:hint="eastAsia" w:ascii="仿宋_GB2312" w:hAnsi="宋体" w:eastAsia="仿宋_GB2312" w:cs="宋体"/>
                <w:kern w:val="0"/>
                <w:sz w:val="24"/>
                <w:lang w:val="en-US" w:eastAsia="zh-CN"/>
              </w:rPr>
              <w:t>，锅具容积：不小于2600ml</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时控范围</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各孔独立 0-99分钟连续可调、实时显示，实时监测，具备预报警功能，达到设定时间仪器自动声、光报警提示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节能灶具</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单灶文火25分钟或武火15分钟耗电≤0.3度</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总电源控制</w:t>
            </w:r>
          </w:p>
        </w:tc>
        <w:tc>
          <w:tcPr>
            <w:tcW w:w="1995" w:type="dxa"/>
          </w:tcPr>
          <w:p>
            <w:pPr>
              <w:spacing w:line="320" w:lineRule="exac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具备最新过流保护的继电器控制，按钮式操作，方便快捷</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ascii="仿宋" w:hAnsi="仿宋" w:eastAsia="仿宋"/>
                <w:b w:val="0"/>
                <w:bCs/>
                <w:szCs w:val="21"/>
              </w:rPr>
            </w:pPr>
          </w:p>
        </w:tc>
        <w:tc>
          <w:tcPr>
            <w:tcW w:w="1995" w:type="dxa"/>
          </w:tcPr>
          <w:p>
            <w:pPr>
              <w:spacing w:line="320" w:lineRule="exact"/>
              <w:rPr>
                <w:rFonts w:ascii="仿宋" w:hAnsi="仿宋" w:eastAsia="仿宋"/>
                <w:b w:val="0"/>
                <w:bCs/>
                <w:szCs w:val="21"/>
              </w:rPr>
            </w:pPr>
            <w:r>
              <w:rPr>
                <w:rFonts w:hint="default" w:ascii="仿宋_GB2312" w:hAnsi="宋体" w:eastAsia="仿宋_GB2312" w:cs="宋体"/>
                <w:kern w:val="0"/>
                <w:sz w:val="24"/>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080" w:type="dxa"/>
          </w:tcPr>
          <w:p>
            <w:pPr>
              <w:spacing w:line="320" w:lineRule="exact"/>
              <w:rPr>
                <w:rFonts w:ascii="仿宋" w:hAnsi="仿宋" w:eastAsia="仿宋"/>
                <w:b w:val="0"/>
                <w:bCs/>
                <w:szCs w:val="21"/>
              </w:rPr>
            </w:pPr>
          </w:p>
        </w:tc>
        <w:tc>
          <w:tcPr>
            <w:tcW w:w="1995" w:type="dxa"/>
          </w:tcPr>
          <w:p>
            <w:pPr>
              <w:spacing w:line="320" w:lineRule="exact"/>
              <w:rPr>
                <w:rFonts w:ascii="仿宋" w:hAnsi="仿宋" w:eastAsia="仿宋"/>
                <w:b w:val="0"/>
                <w:bCs/>
                <w:szCs w:val="21"/>
              </w:rPr>
            </w:pPr>
            <w:r>
              <w:rPr>
                <w:rFonts w:hint="default" w:ascii="仿宋_GB2312" w:hAnsi="宋体" w:eastAsia="仿宋_GB2312" w:cs="宋体"/>
                <w:kern w:val="0"/>
                <w:sz w:val="24"/>
                <w:lang w:val="en-US" w:eastAsia="zh-CN"/>
              </w:rPr>
              <w:t>提供近3年内同机型设备国内医院用户合同5家及以上，标书内提供清晰的合同原件扫描件并加盖公章（遮盖认定为无效业绩）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E9E867"/>
    <w:multiLevelType w:val="singleLevel"/>
    <w:tmpl w:val="E9E9E867"/>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6057CF"/>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C732A1"/>
    <w:rsid w:val="28F516D7"/>
    <w:rsid w:val="29194CF5"/>
    <w:rsid w:val="29977838"/>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F253EC2"/>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28785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1558</Words>
  <Characters>1619</Characters>
  <Lines>6</Lines>
  <Paragraphs>1</Paragraphs>
  <TotalTime>1</TotalTime>
  <ScaleCrop>false</ScaleCrop>
  <LinksUpToDate>false</LinksUpToDate>
  <CharactersWithSpaces>1810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2022-05-10T08:27:40Z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236EE8110CB74B6D96A171B8B9CB89FA</vt:lpwstr>
  </property>
</Properties>
</file>