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制剂实验所需相关耗材等</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eastAsia="zh-CN"/>
        </w:rPr>
        <w:t>设备科：</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9"/>
          <w:rFonts w:hint="eastAsia" w:ascii="仿宋" w:hAnsi="仿宋" w:eastAsia="仿宋" w:cs="仿宋"/>
          <w:b w:val="0"/>
          <w:bCs/>
          <w:color w:val="auto"/>
          <w:sz w:val="21"/>
          <w:szCs w:val="21"/>
          <w:lang w:eastAsia="zh-CN"/>
        </w:rPr>
        <w:t>具备</w:t>
      </w:r>
      <w:r>
        <w:rPr>
          <w:rStyle w:val="19"/>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3年以上，保修范围不包含须定期更换零部件，须定期更换零部件报价清单如下...；二是将须定期更换零部件变为耗材，恶意降低货物价格，提高耗材价（或直接提高耗材报价）。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9"/>
          <w:rFonts w:hint="eastAsia" w:ascii="仿宋" w:hAnsi="仿宋" w:eastAsia="仿宋" w:cs="仿宋"/>
          <w:b/>
          <w:bCs w:val="0"/>
          <w:color w:val="auto"/>
          <w:sz w:val="21"/>
          <w:szCs w:val="21"/>
          <w:lang w:eastAsia="zh-CN"/>
        </w:rPr>
        <w:t>或具备</w:t>
      </w:r>
      <w:r>
        <w:rPr>
          <w:rStyle w:val="19"/>
          <w:rFonts w:hint="eastAsia" w:ascii="仿宋" w:hAnsi="仿宋" w:eastAsia="仿宋" w:cs="仿宋"/>
          <w:b/>
          <w:bCs w:val="0"/>
          <w:color w:val="auto"/>
          <w:sz w:val="21"/>
          <w:szCs w:val="21"/>
          <w:lang w:val="en-US" w:eastAsia="zh-CN"/>
        </w:rPr>
        <w:t>CMA【或CNAS】资质检测机构）</w:t>
      </w:r>
      <w:r>
        <w:rPr>
          <w:rStyle w:val="19"/>
          <w:rFonts w:hint="eastAsia" w:ascii="仿宋" w:hAnsi="仿宋" w:eastAsia="仿宋" w:cs="仿宋"/>
          <w:b w:val="0"/>
          <w:bCs/>
          <w:color w:val="auto"/>
          <w:sz w:val="21"/>
          <w:szCs w:val="21"/>
          <w:lang w:val="en-US" w:eastAsia="zh-CN"/>
        </w:rPr>
        <w:t>出具的</w:t>
      </w:r>
      <w:r>
        <w:rPr>
          <w:rStyle w:val="19"/>
          <w:rFonts w:hint="eastAsia" w:ascii="仿宋" w:hAnsi="仿宋" w:eastAsia="仿宋" w:cs="仿宋"/>
          <w:b w:val="0"/>
          <w:bCs/>
          <w:color w:val="auto"/>
          <w:sz w:val="21"/>
          <w:szCs w:val="21"/>
        </w:rPr>
        <w:t>质检报告原件扫描件</w:t>
      </w:r>
      <w:r>
        <w:rPr>
          <w:rStyle w:val="19"/>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9"/>
          <w:rFonts w:hint="eastAsia" w:ascii="仿宋" w:hAnsi="仿宋" w:eastAsia="仿宋" w:cs="仿宋"/>
          <w:b w:val="0"/>
          <w:bCs/>
          <w:color w:val="auto"/>
          <w:sz w:val="21"/>
          <w:szCs w:val="21"/>
        </w:rPr>
        <w:t>食药监局</w:t>
      </w:r>
      <w:r>
        <w:rPr>
          <w:rStyle w:val="19"/>
          <w:rFonts w:hint="eastAsia" w:ascii="仿宋" w:hAnsi="仿宋" w:eastAsia="仿宋" w:cs="仿宋"/>
          <w:b w:val="0"/>
          <w:bCs/>
          <w:color w:val="auto"/>
          <w:sz w:val="21"/>
          <w:szCs w:val="21"/>
          <w:lang w:eastAsia="zh-CN"/>
        </w:rPr>
        <w:t>或</w:t>
      </w:r>
      <w:r>
        <w:rPr>
          <w:rStyle w:val="19"/>
          <w:rFonts w:hint="eastAsia" w:ascii="仿宋" w:hAnsi="仿宋" w:eastAsia="仿宋" w:cs="仿宋"/>
          <w:b w:val="0"/>
          <w:bCs/>
          <w:color w:val="auto"/>
          <w:sz w:val="21"/>
          <w:szCs w:val="21"/>
        </w:rPr>
        <w:t>其下属单位</w:t>
      </w:r>
      <w:r>
        <w:rPr>
          <w:rStyle w:val="19"/>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w:t>
      </w:r>
    </w:p>
    <w:p>
      <w:pPr>
        <w:pStyle w:val="1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4"/>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63"/>
        <w:gridCol w:w="1707"/>
        <w:gridCol w:w="3240"/>
        <w:gridCol w:w="616"/>
        <w:gridCol w:w="885"/>
        <w:gridCol w:w="855"/>
        <w:gridCol w:w="1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226"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85"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8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5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5" w:hRule="atLeast"/>
        </w:trPr>
        <w:tc>
          <w:tcPr>
            <w:tcW w:w="663"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707"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24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16"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85" w:type="dxa"/>
            <w:vMerge w:val="continue"/>
          </w:tcPr>
          <w:p>
            <w:pPr>
              <w:spacing w:line="320" w:lineRule="exact"/>
              <w:rPr>
                <w:rFonts w:ascii="仿宋" w:hAnsi="仿宋" w:eastAsia="仿宋"/>
                <w:b w:val="0"/>
                <w:bCs/>
                <w:szCs w:val="21"/>
              </w:rPr>
            </w:pPr>
          </w:p>
        </w:tc>
        <w:tc>
          <w:tcPr>
            <w:tcW w:w="855" w:type="dxa"/>
            <w:vMerge w:val="continue"/>
          </w:tcPr>
          <w:p>
            <w:pPr>
              <w:spacing w:line="320" w:lineRule="exact"/>
              <w:rPr>
                <w:rFonts w:ascii="仿宋" w:hAnsi="仿宋" w:eastAsia="仿宋"/>
                <w:b w:val="0"/>
                <w:bCs/>
                <w:szCs w:val="21"/>
              </w:rPr>
            </w:pPr>
          </w:p>
        </w:tc>
        <w:tc>
          <w:tcPr>
            <w:tcW w:w="1752"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jc w:val="both"/>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一</w:t>
            </w:r>
          </w:p>
        </w:tc>
        <w:tc>
          <w:tcPr>
            <w:tcW w:w="1707" w:type="dxa"/>
            <w:vAlign w:val="top"/>
          </w:tcPr>
          <w:p>
            <w:pPr>
              <w:jc w:val="both"/>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对照品，对照药材</w:t>
            </w:r>
          </w:p>
        </w:tc>
        <w:tc>
          <w:tcPr>
            <w:tcW w:w="3240" w:type="dxa"/>
            <w:vAlign w:val="top"/>
          </w:tcPr>
          <w:p>
            <w:pPr>
              <w:spacing w:line="360" w:lineRule="auto"/>
              <w:jc w:val="center"/>
              <w:rPr>
                <w:rFonts w:hint="eastAsia" w:ascii="宋体" w:hAnsi="宋体" w:eastAsia="宋体" w:cs="宋体"/>
                <w:sz w:val="24"/>
                <w:szCs w:val="24"/>
              </w:rPr>
            </w:pPr>
            <w:r>
              <w:rPr>
                <w:rFonts w:hint="eastAsia" w:ascii="宋体" w:hAnsi="宋体" w:eastAsia="宋体" w:cs="宋体"/>
                <w:b/>
                <w:bCs/>
                <w:color w:val="000000"/>
                <w:sz w:val="24"/>
                <w:szCs w:val="24"/>
                <w:lang w:val="en-US" w:eastAsia="zh-CN"/>
              </w:rPr>
              <w:t>以下对照品以及对照药材均为中检院出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贝母素甲对照品</w:t>
            </w:r>
            <w:r>
              <w:rPr>
                <w:rFonts w:hint="eastAsia" w:ascii="宋体" w:hAnsi="宋体" w:eastAsia="宋体" w:cs="宋体"/>
                <w:sz w:val="24"/>
                <w:szCs w:val="24"/>
                <w:lang w:val="en-US" w:eastAsia="zh-CN"/>
              </w:rPr>
              <w:t>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贝母素乙对照品</w:t>
            </w:r>
            <w:r>
              <w:rPr>
                <w:rFonts w:hint="eastAsia" w:ascii="宋体" w:hAnsi="宋体" w:eastAsia="宋体" w:cs="宋体"/>
                <w:sz w:val="24"/>
                <w:szCs w:val="24"/>
                <w:lang w:val="en-US" w:eastAsia="zh-CN"/>
              </w:rPr>
              <w:t>2支</w:t>
            </w:r>
          </w:p>
        </w:tc>
        <w:tc>
          <w:tcPr>
            <w:tcW w:w="616" w:type="dxa"/>
          </w:tcPr>
          <w:p>
            <w:pPr>
              <w:spacing w:line="320" w:lineRule="exact"/>
              <w:ind w:firstLine="240" w:firstLineChars="100"/>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芍药苷对照品</w:t>
            </w:r>
            <w:r>
              <w:rPr>
                <w:rFonts w:hint="eastAsia" w:ascii="宋体" w:hAnsi="宋体" w:eastAsia="宋体" w:cs="宋体"/>
                <w:sz w:val="24"/>
                <w:szCs w:val="24"/>
                <w:lang w:val="en-US" w:eastAsia="zh-CN"/>
              </w:rPr>
              <w:t>10支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α香附酮</w:t>
            </w:r>
            <w:r>
              <w:rPr>
                <w:rFonts w:hint="eastAsia" w:ascii="宋体" w:hAnsi="宋体" w:eastAsia="宋体" w:cs="宋体"/>
                <w:sz w:val="24"/>
                <w:szCs w:val="24"/>
                <w:lang w:val="en-US" w:eastAsia="zh-CN"/>
              </w:rPr>
              <w:t>3支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升麻素苷3支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5-O甲基维斯阿米醇苷对照品3支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丹酚酸B对照品3支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ilvl w:val="0"/>
                <w:numId w:val="2"/>
              </w:numPr>
              <w:spacing w:line="320" w:lineRule="exact"/>
              <w:ind w:left="635" w:leftChars="0" w:hanging="425" w:firstLineChars="0"/>
              <w:rPr>
                <w:rFonts w:hint="eastAsia" w:ascii="宋体" w:hAnsi="宋体" w:eastAsia="宋体" w:cs="宋体"/>
                <w:b w:val="0"/>
                <w:bCs/>
                <w:sz w:val="24"/>
                <w:szCs w:val="24"/>
              </w:rPr>
            </w:pP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丹参酮</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2 \* ROMAN \* MERGEFORMAT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rPr>
              <w:t>II</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A对照品3支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9</w:t>
            </w:r>
          </w:p>
        </w:tc>
        <w:tc>
          <w:tcPr>
            <w:tcW w:w="1707" w:type="dxa"/>
            <w:vAlign w:val="top"/>
          </w:tcPr>
          <w:p>
            <w:pPr>
              <w:jc w:val="both"/>
              <w:rPr>
                <w:rFonts w:hint="eastAsia" w:ascii="宋体" w:hAnsi="宋体" w:eastAsia="宋体" w:cs="宋体"/>
                <w:b/>
                <w:bCs w:val="0"/>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绿原酸对照品</w:t>
            </w:r>
            <w:r>
              <w:rPr>
                <w:rFonts w:hint="eastAsia" w:ascii="宋体" w:hAnsi="宋体" w:eastAsia="宋体" w:cs="宋体"/>
                <w:sz w:val="24"/>
                <w:szCs w:val="24"/>
                <w:lang w:val="en-US" w:eastAsia="zh-CN"/>
              </w:rPr>
              <w:t>5支</w:t>
            </w:r>
          </w:p>
        </w:tc>
        <w:tc>
          <w:tcPr>
            <w:tcW w:w="616" w:type="dxa"/>
          </w:tcPr>
          <w:p>
            <w:pPr>
              <w:spacing w:line="320" w:lineRule="exact"/>
              <w:ind w:firstLine="240" w:firstLineChars="100"/>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10</w:t>
            </w:r>
          </w:p>
        </w:tc>
        <w:tc>
          <w:tcPr>
            <w:tcW w:w="1707" w:type="dxa"/>
            <w:vAlign w:val="top"/>
          </w:tcPr>
          <w:p>
            <w:pPr>
              <w:jc w:val="both"/>
              <w:rPr>
                <w:rFonts w:hint="eastAsia" w:ascii="宋体" w:hAnsi="宋体" w:eastAsia="宋体" w:cs="宋体"/>
                <w:b w:val="0"/>
                <w:bCs/>
                <w:sz w:val="24"/>
                <w:szCs w:val="24"/>
                <w:lang w:eastAsia="zh-CN"/>
              </w:rPr>
            </w:pPr>
          </w:p>
        </w:tc>
        <w:tc>
          <w:tcPr>
            <w:tcW w:w="3240" w:type="dxa"/>
            <w:vAlign w:val="top"/>
          </w:tcPr>
          <w:p>
            <w:pPr>
              <w:spacing w:line="360" w:lineRule="auto"/>
              <w:jc w:val="both"/>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延胡索对照药材</w:t>
            </w:r>
            <w:r>
              <w:rPr>
                <w:rFonts w:hint="eastAsia" w:ascii="宋体" w:hAnsi="宋体" w:eastAsia="宋体" w:cs="宋体"/>
                <w:sz w:val="24"/>
                <w:szCs w:val="24"/>
                <w:lang w:val="en-US" w:eastAsia="zh-CN"/>
              </w:rPr>
              <w:t>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11</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val="0"/>
                <w:bCs/>
                <w:sz w:val="24"/>
                <w:szCs w:val="24"/>
                <w:lang w:eastAsia="zh-CN"/>
              </w:rPr>
            </w:pPr>
            <w:r>
              <w:rPr>
                <w:rFonts w:hint="eastAsia" w:ascii="宋体" w:hAnsi="宋体" w:eastAsia="宋体" w:cs="宋体"/>
                <w:sz w:val="24"/>
                <w:szCs w:val="24"/>
                <w:lang w:eastAsia="zh-CN"/>
              </w:rPr>
              <w:t>防风对照药材</w:t>
            </w:r>
            <w:r>
              <w:rPr>
                <w:rFonts w:hint="eastAsia" w:ascii="宋体" w:hAnsi="宋体" w:eastAsia="宋体" w:cs="宋体"/>
                <w:sz w:val="24"/>
                <w:szCs w:val="24"/>
                <w:lang w:val="en-US" w:eastAsia="zh-CN"/>
              </w:rPr>
              <w:t>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12</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lang w:eastAsia="zh-CN"/>
              </w:rPr>
            </w:pPr>
            <w:r>
              <w:rPr>
                <w:rFonts w:hint="eastAsia" w:ascii="宋体" w:hAnsi="宋体" w:eastAsia="宋体" w:cs="宋体"/>
                <w:sz w:val="24"/>
                <w:szCs w:val="24"/>
                <w:lang w:eastAsia="zh-CN"/>
              </w:rPr>
              <w:t>黄柏对照药材</w:t>
            </w:r>
            <w:r>
              <w:rPr>
                <w:rFonts w:hint="eastAsia" w:ascii="宋体" w:hAnsi="宋体" w:eastAsia="宋体" w:cs="宋体"/>
                <w:sz w:val="24"/>
                <w:szCs w:val="24"/>
                <w:lang w:val="en-US" w:eastAsia="zh-CN"/>
              </w:rPr>
              <w:t>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13</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lang w:eastAsia="zh-CN"/>
              </w:rPr>
            </w:pPr>
            <w:r>
              <w:rPr>
                <w:rFonts w:hint="eastAsia" w:ascii="宋体" w:hAnsi="宋体" w:eastAsia="宋体" w:cs="宋体"/>
                <w:sz w:val="24"/>
                <w:szCs w:val="24"/>
                <w:lang w:eastAsia="zh-CN"/>
              </w:rPr>
              <w:t>太子参对照药材</w:t>
            </w:r>
            <w:r>
              <w:rPr>
                <w:rFonts w:hint="eastAsia" w:ascii="宋体" w:hAnsi="宋体" w:eastAsia="宋体" w:cs="宋体"/>
                <w:sz w:val="24"/>
                <w:szCs w:val="24"/>
                <w:lang w:val="en-US" w:eastAsia="zh-CN"/>
              </w:rPr>
              <w:t>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14</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lang w:eastAsia="zh-CN"/>
              </w:rPr>
            </w:pPr>
            <w:r>
              <w:rPr>
                <w:rFonts w:hint="eastAsia" w:ascii="宋体" w:hAnsi="宋体" w:eastAsia="宋体" w:cs="宋体"/>
                <w:sz w:val="24"/>
                <w:szCs w:val="24"/>
                <w:lang w:eastAsia="zh-CN"/>
              </w:rPr>
              <w:t>甘草苷对照品</w:t>
            </w:r>
            <w:r>
              <w:rPr>
                <w:rFonts w:hint="eastAsia" w:ascii="宋体" w:hAnsi="宋体" w:eastAsia="宋体" w:cs="宋体"/>
                <w:sz w:val="24"/>
                <w:szCs w:val="24"/>
                <w:lang w:val="en-US" w:eastAsia="zh-CN"/>
              </w:rPr>
              <w:t>1支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lang w:eastAsia="zh-CN"/>
              </w:rPr>
            </w:pPr>
            <w:r>
              <w:rPr>
                <w:rFonts w:hint="eastAsia" w:ascii="宋体" w:hAnsi="宋体" w:eastAsia="宋体" w:cs="宋体"/>
                <w:sz w:val="24"/>
                <w:szCs w:val="24"/>
                <w:lang w:val="en-US" w:eastAsia="zh-CN"/>
              </w:rPr>
              <w:t>甘草酸对照品1支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藁本内酯对照品2支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2"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当归对照药材2支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63" w:type="dxa"/>
          </w:tcPr>
          <w:p>
            <w:pPr>
              <w:numPr>
                <w:ilvl w:val="0"/>
                <w:numId w:val="0"/>
              </w:numPr>
              <w:spacing w:line="320" w:lineRule="exac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盐酸小檗碱5支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63" w:type="dxa"/>
          </w:tcPr>
          <w:p>
            <w:pPr>
              <w:numPr>
                <w:ilvl w:val="0"/>
                <w:numId w:val="0"/>
              </w:numPr>
              <w:spacing w:line="320" w:lineRule="exact"/>
              <w:rPr>
                <w:rFonts w:hint="eastAsia" w:ascii="宋体" w:hAnsi="宋体" w:eastAsia="宋体" w:cs="宋体"/>
                <w:b w:val="0"/>
                <w:bCs/>
                <w:sz w:val="24"/>
                <w:szCs w:val="24"/>
                <w:lang w:val="en-US" w:eastAsia="zh-CN"/>
              </w:rPr>
            </w:pP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以上均为中检院出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63" w:type="dxa"/>
          </w:tcPr>
          <w:p>
            <w:pPr>
              <w:bidi w:val="0"/>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w:t>
            </w:r>
          </w:p>
        </w:tc>
        <w:tc>
          <w:tcPr>
            <w:tcW w:w="1707" w:type="dxa"/>
          </w:tcPr>
          <w:p>
            <w:pPr>
              <w:spacing w:line="3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相关试验器械</w:t>
            </w:r>
          </w:p>
        </w:tc>
        <w:tc>
          <w:tcPr>
            <w:tcW w:w="3240" w:type="dxa"/>
          </w:tcPr>
          <w:p>
            <w:pPr>
              <w:spacing w:line="360" w:lineRule="auto"/>
              <w:rPr>
                <w:rFonts w:hint="eastAsia" w:ascii="宋体" w:hAnsi="宋体" w:eastAsia="宋体" w:cs="宋体"/>
                <w:b/>
                <w:bCs/>
                <w:sz w:val="24"/>
                <w:szCs w:val="24"/>
                <w:lang w:val="en-US" w:eastAsia="zh-CN"/>
              </w:rPr>
            </w:pP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663" w:type="dxa"/>
          </w:tcPr>
          <w:p>
            <w:pPr>
              <w:numPr>
                <w:ilvl w:val="0"/>
                <w:numId w:val="0"/>
              </w:numPr>
              <w:spacing w:line="320" w:lineRule="exac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25ml容量瓶（透明）20个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663" w:type="dxa"/>
          </w:tcPr>
          <w:p>
            <w:pPr>
              <w:numPr>
                <w:ilvl w:val="0"/>
                <w:numId w:val="0"/>
              </w:numPr>
              <w:spacing w:line="320" w:lineRule="exac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50ml具塞锥形瓶（透明）20个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trPr>
        <w:tc>
          <w:tcPr>
            <w:tcW w:w="663" w:type="dxa"/>
          </w:tcPr>
          <w:p>
            <w:pPr>
              <w:numPr>
                <w:ilvl w:val="0"/>
                <w:numId w:val="0"/>
              </w:numPr>
              <w:spacing w:line="320" w:lineRule="exac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21</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100ml具塞锥形瓶（透明）20个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22</w:t>
            </w:r>
          </w:p>
        </w:tc>
        <w:tc>
          <w:tcPr>
            <w:tcW w:w="1707" w:type="dxa"/>
          </w:tcPr>
          <w:p>
            <w:pPr>
              <w:spacing w:line="320" w:lineRule="exact"/>
              <w:rPr>
                <w:rFonts w:hint="eastAsia" w:ascii="宋体" w:hAnsi="宋体" w:eastAsia="宋体" w:cs="宋体"/>
                <w:b/>
                <w:bCs w:val="0"/>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漏斗（直径3.5cm）20个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23</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2ml进样瓶盒（100孔，HM-1010E）8个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24</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250ml梨形分液漏斗（配四氟活塞）10个</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25</w:t>
            </w:r>
          </w:p>
        </w:tc>
        <w:tc>
          <w:tcPr>
            <w:tcW w:w="1707" w:type="dxa"/>
          </w:tcPr>
          <w:p>
            <w:pPr>
              <w:spacing w:line="320" w:lineRule="exact"/>
              <w:rPr>
                <w:rFonts w:hint="eastAsia" w:ascii="宋体" w:hAnsi="宋体" w:eastAsia="宋体" w:cs="宋体"/>
                <w:b/>
                <w:bCs w:val="0"/>
                <w:sz w:val="24"/>
                <w:szCs w:val="24"/>
                <w:lang w:eastAsia="zh-CN"/>
              </w:rPr>
            </w:pPr>
          </w:p>
        </w:tc>
        <w:tc>
          <w:tcPr>
            <w:tcW w:w="3240" w:type="dxa"/>
          </w:tcPr>
          <w:p>
            <w:pPr>
              <w:spacing w:line="360" w:lineRule="auto"/>
              <w:jc w:val="left"/>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索氏提取器2套</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26</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安捷伦接头（5500-1194*2,5500-1196*2,5067-5966*4,5043-0924*4,5062-2418*4）</w:t>
            </w:r>
          </w:p>
          <w:p>
            <w:pPr>
              <w:spacing w:line="360" w:lineRule="auto"/>
              <w:jc w:val="left"/>
              <w:rPr>
                <w:rFonts w:hint="eastAsia" w:ascii="宋体" w:hAnsi="宋体" w:eastAsia="宋体" w:cs="宋体"/>
                <w:b/>
                <w:bCs/>
                <w:color w:val="000000"/>
                <w:sz w:val="24"/>
                <w:szCs w:val="24"/>
              </w:rPr>
            </w:pP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w:t>
            </w:r>
          </w:p>
        </w:tc>
        <w:tc>
          <w:tcPr>
            <w:tcW w:w="1707" w:type="dxa"/>
          </w:tcPr>
          <w:p>
            <w:pPr>
              <w:spacing w:line="320" w:lineRule="exact"/>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培养基</w:t>
            </w:r>
            <w:bookmarkStart w:id="0" w:name="_GoBack"/>
            <w:bookmarkEnd w:id="0"/>
          </w:p>
        </w:tc>
        <w:tc>
          <w:tcPr>
            <w:tcW w:w="3240" w:type="dxa"/>
          </w:tcPr>
          <w:p>
            <w:pPr>
              <w:spacing w:line="360" w:lineRule="auto"/>
              <w:jc w:val="left"/>
              <w:rPr>
                <w:rFonts w:hint="eastAsia" w:ascii="宋体" w:hAnsi="宋体" w:eastAsia="宋体" w:cs="宋体"/>
                <w:b/>
                <w:bCs w:val="0"/>
                <w:color w:val="000000"/>
                <w:sz w:val="24"/>
                <w:szCs w:val="24"/>
              </w:rPr>
            </w:pP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27</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jc w:val="left"/>
              <w:rPr>
                <w:rFonts w:hint="eastAsia" w:ascii="宋体" w:hAnsi="宋体" w:eastAsia="宋体" w:cs="宋体"/>
                <w:b/>
                <w:bCs/>
                <w:color w:val="0000FF"/>
                <w:sz w:val="24"/>
                <w:szCs w:val="24"/>
              </w:rPr>
            </w:pPr>
            <w:r>
              <w:rPr>
                <w:rFonts w:hint="eastAsia" w:ascii="宋体" w:hAnsi="宋体" w:eastAsia="宋体" w:cs="宋体"/>
                <w:color w:val="0000FF"/>
                <w:sz w:val="24"/>
                <w:szCs w:val="24"/>
                <w:lang w:val="en-US" w:eastAsia="zh-CN"/>
              </w:rPr>
              <w:t>蛋白胨</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jc w:val="left"/>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胰酪大豆琼脂培养基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28</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沙氏葡萄糖琼脂培养基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29</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jc w:val="left"/>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胰酪大豆液体培养基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30</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麦康凯液体培养基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31</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麦康凯琼脂培养基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32</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RV沙门菌增菌</w:t>
            </w:r>
            <w:r>
              <w:rPr>
                <w:rFonts w:hint="eastAsia" w:ascii="宋体" w:hAnsi="宋体" w:eastAsia="宋体" w:cs="宋体"/>
                <w:color w:val="0000FF"/>
                <w:sz w:val="24"/>
                <w:szCs w:val="24"/>
                <w:lang w:val="en-US" w:eastAsia="zh-CN"/>
              </w:rPr>
              <w:t>液体培养基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33</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木糖赖氨酸脱氧胆盐琼脂培养基</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b/>
                <w:bCs/>
                <w:color w:val="000000"/>
                <w:sz w:val="24"/>
                <w:szCs w:val="24"/>
                <w:lang w:val="en-US" w:eastAsia="zh-CN"/>
              </w:rPr>
              <w:t>以上各三瓶，北京三药产。</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34</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rPr>
            </w:pPr>
            <w:r>
              <w:rPr>
                <w:rFonts w:hint="eastAsia" w:ascii="宋体" w:hAnsi="宋体" w:eastAsia="宋体" w:cs="宋体"/>
                <w:sz w:val="24"/>
                <w:szCs w:val="24"/>
                <w:lang w:val="en-US" w:eastAsia="zh-CN"/>
              </w:rPr>
              <w:t>碳酸氢钠1瓶(分析纯）</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35</w:t>
            </w:r>
          </w:p>
        </w:tc>
        <w:tc>
          <w:tcPr>
            <w:tcW w:w="1707" w:type="dxa"/>
          </w:tcPr>
          <w:p>
            <w:pPr>
              <w:spacing w:line="320" w:lineRule="exact"/>
              <w:rPr>
                <w:rFonts w:hint="eastAsia" w:ascii="宋体" w:hAnsi="宋体" w:eastAsia="宋体" w:cs="宋体"/>
                <w:b w:val="0"/>
                <w:bCs/>
                <w:sz w:val="24"/>
                <w:szCs w:val="24"/>
                <w:lang w:eastAsia="zh-CN"/>
              </w:rPr>
            </w:pPr>
          </w:p>
        </w:tc>
        <w:tc>
          <w:tcPr>
            <w:tcW w:w="3240" w:type="dxa"/>
          </w:tcPr>
          <w:p>
            <w:pPr>
              <w:spacing w:line="360" w:lineRule="auto"/>
              <w:rPr>
                <w:rFonts w:hint="eastAsia" w:ascii="宋体" w:hAnsi="宋体" w:eastAsia="宋体" w:cs="宋体"/>
                <w:b/>
                <w:bCs/>
                <w:color w:val="000000"/>
                <w:sz w:val="24"/>
                <w:szCs w:val="24"/>
                <w:lang w:val="en-US" w:eastAsia="zh-CN"/>
              </w:rPr>
            </w:pPr>
            <w:r>
              <w:rPr>
                <w:rFonts w:hint="eastAsia" w:ascii="宋体" w:hAnsi="宋体" w:eastAsia="宋体" w:cs="宋体"/>
                <w:sz w:val="24"/>
                <w:szCs w:val="24"/>
                <w:lang w:val="en-US" w:eastAsia="zh-CN"/>
              </w:rPr>
              <w:t>色谱乙腈一箱（4L/瓶，4瓶/箱）</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w:t>
            </w:r>
          </w:p>
        </w:tc>
        <w:tc>
          <w:tcPr>
            <w:tcW w:w="1707" w:type="dxa"/>
          </w:tcPr>
          <w:p>
            <w:pPr>
              <w:spacing w:line="320" w:lineRule="exact"/>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配件</w:t>
            </w:r>
          </w:p>
        </w:tc>
        <w:tc>
          <w:tcPr>
            <w:tcW w:w="3240" w:type="dxa"/>
          </w:tcPr>
          <w:p>
            <w:pPr>
              <w:spacing w:line="360" w:lineRule="auto"/>
              <w:rPr>
                <w:rFonts w:hint="eastAsia" w:ascii="宋体" w:hAnsi="宋体" w:eastAsia="宋体" w:cs="宋体"/>
                <w:b/>
                <w:bCs w:val="0"/>
                <w:sz w:val="24"/>
                <w:szCs w:val="24"/>
                <w:lang w:val="en-US" w:eastAsia="zh-CN"/>
              </w:rPr>
            </w:pP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36</w:t>
            </w:r>
          </w:p>
        </w:tc>
        <w:tc>
          <w:tcPr>
            <w:tcW w:w="1707" w:type="dxa"/>
          </w:tcPr>
          <w:p>
            <w:pPr>
              <w:spacing w:line="320" w:lineRule="exact"/>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高效液相色谱仪氘灯1个</w:t>
            </w:r>
          </w:p>
        </w:tc>
        <w:tc>
          <w:tcPr>
            <w:tcW w:w="3240" w:type="dxa"/>
          </w:tcPr>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VWD：G1314-60100</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numPr>
                <w:ilvl w:val="0"/>
                <w:numId w:val="0"/>
              </w:numPr>
              <w:spacing w:line="32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37</w:t>
            </w:r>
          </w:p>
        </w:tc>
        <w:tc>
          <w:tcPr>
            <w:tcW w:w="1707" w:type="dxa"/>
          </w:tcPr>
          <w:p>
            <w:pPr>
              <w:spacing w:line="320" w:lineRule="exact"/>
              <w:rPr>
                <w:rFonts w:hint="eastAsia" w:ascii="宋体" w:hAnsi="宋体" w:eastAsia="宋体" w:cs="宋体"/>
                <w:b w:val="0"/>
                <w:bCs/>
                <w:sz w:val="24"/>
                <w:szCs w:val="24"/>
                <w:lang w:eastAsia="zh-CN"/>
              </w:rPr>
            </w:pPr>
            <w:r>
              <w:rPr>
                <w:rFonts w:hint="eastAsia" w:ascii="宋体" w:hAnsi="宋体" w:eastAsia="宋体" w:cs="宋体"/>
                <w:sz w:val="24"/>
                <w:szCs w:val="24"/>
                <w:lang w:val="en-US" w:eastAsia="zh-CN"/>
              </w:rPr>
              <w:t>高效液相色谱仪氘灯1个</w:t>
            </w:r>
          </w:p>
        </w:tc>
        <w:tc>
          <w:tcPr>
            <w:tcW w:w="3240" w:type="dxa"/>
          </w:tcPr>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DAD：2140-0820</w:t>
            </w:r>
          </w:p>
        </w:tc>
        <w:tc>
          <w:tcPr>
            <w:tcW w:w="616" w:type="dxa"/>
          </w:tcPr>
          <w:p>
            <w:pPr>
              <w:spacing w:line="320" w:lineRule="exact"/>
              <w:rPr>
                <w:rFonts w:hint="eastAsia" w:ascii="宋体" w:hAnsi="宋体" w:eastAsia="宋体" w:cs="宋体"/>
                <w:b w:val="0"/>
                <w:bCs/>
                <w:sz w:val="24"/>
                <w:szCs w:val="24"/>
              </w:rPr>
            </w:pPr>
          </w:p>
        </w:tc>
        <w:tc>
          <w:tcPr>
            <w:tcW w:w="885" w:type="dxa"/>
          </w:tcPr>
          <w:p>
            <w:pPr>
              <w:spacing w:line="320" w:lineRule="exact"/>
              <w:rPr>
                <w:rFonts w:hint="eastAsia" w:ascii="宋体" w:hAnsi="宋体" w:eastAsia="宋体" w:cs="宋体"/>
                <w:b w:val="0"/>
                <w:bCs/>
                <w:sz w:val="24"/>
                <w:szCs w:val="24"/>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bidi w:val="0"/>
              <w:jc w:val="left"/>
              <w:rPr>
                <w:rFonts w:hint="eastAsia" w:ascii="仿宋" w:hAnsi="仿宋" w:eastAsia="仿宋" w:cs="仿宋"/>
                <w:sz w:val="24"/>
                <w:szCs w:val="24"/>
                <w:lang w:val="en-US" w:eastAsia="zh-CN"/>
              </w:rPr>
            </w:pPr>
          </w:p>
        </w:tc>
        <w:tc>
          <w:tcPr>
            <w:tcW w:w="1707"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售后</w:t>
            </w:r>
          </w:p>
        </w:tc>
        <w:tc>
          <w:tcPr>
            <w:tcW w:w="3240" w:type="dxa"/>
            <w:vAlign w:val="top"/>
          </w:tcPr>
          <w:p>
            <w:pPr>
              <w:spacing w:line="320" w:lineRule="exact"/>
              <w:rPr>
                <w:rFonts w:hint="eastAsia" w:ascii="仿宋" w:hAnsi="仿宋" w:eastAsia="仿宋" w:cs="仿宋"/>
                <w:b/>
                <w:bCs/>
                <w:color w:val="000000"/>
                <w:sz w:val="24"/>
                <w:szCs w:val="24"/>
              </w:rPr>
            </w:pPr>
            <w:r>
              <w:rPr>
                <w:rFonts w:hint="eastAsia" w:ascii="仿宋" w:hAnsi="仿宋" w:eastAsia="仿宋" w:cs="仿宋"/>
                <w:b w:val="0"/>
                <w:bCs/>
                <w:kern w:val="0"/>
                <w:sz w:val="24"/>
                <w:szCs w:val="24"/>
                <w:lang w:val="en-US" w:eastAsia="zh-CN"/>
              </w:rPr>
              <w:t>售后服务要求：整机免费保修三年（含所有零部件，包括须定期更换零部件）。</w:t>
            </w:r>
          </w:p>
        </w:tc>
        <w:tc>
          <w:tcPr>
            <w:tcW w:w="616"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63" w:type="dxa"/>
          </w:tcPr>
          <w:p>
            <w:pPr>
              <w:bidi w:val="0"/>
              <w:jc w:val="left"/>
              <w:rPr>
                <w:rFonts w:hint="eastAsia" w:ascii="仿宋" w:hAnsi="仿宋" w:eastAsia="仿宋" w:cs="仿宋"/>
                <w:sz w:val="24"/>
                <w:szCs w:val="24"/>
                <w:lang w:val="en-US" w:eastAsia="zh-CN"/>
              </w:rPr>
            </w:pPr>
          </w:p>
        </w:tc>
        <w:tc>
          <w:tcPr>
            <w:tcW w:w="1707"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其他</w:t>
            </w:r>
          </w:p>
        </w:tc>
        <w:tc>
          <w:tcPr>
            <w:tcW w:w="3240" w:type="dxa"/>
            <w:vAlign w:val="top"/>
          </w:tcPr>
          <w:p>
            <w:pPr>
              <w:spacing w:line="320" w:lineRule="exact"/>
              <w:rPr>
                <w:rFonts w:hint="eastAsia" w:ascii="仿宋" w:hAnsi="仿宋" w:eastAsia="仿宋" w:cs="仿宋"/>
                <w:b/>
                <w:bCs/>
                <w:color w:val="000000"/>
                <w:sz w:val="24"/>
                <w:szCs w:val="24"/>
              </w:rPr>
            </w:pPr>
            <w:r>
              <w:rPr>
                <w:rFonts w:hint="eastAsia" w:ascii="仿宋" w:hAnsi="仿宋" w:eastAsia="仿宋" w:cs="仿宋"/>
                <w:b w:val="0"/>
                <w:bCs/>
                <w:kern w:val="0"/>
                <w:sz w:val="24"/>
                <w:szCs w:val="24"/>
                <w:lang w:val="en-US" w:eastAsia="zh-CN"/>
              </w:rPr>
              <w:t>提供近3年内同机型设备国内医院用户合同5家及以上，标书内提供清晰的合同原件扫描件并加盖公章（遮盖认定为无效业绩）。</w:t>
            </w:r>
          </w:p>
        </w:tc>
        <w:tc>
          <w:tcPr>
            <w:tcW w:w="616" w:type="dxa"/>
          </w:tcPr>
          <w:p>
            <w:pPr>
              <w:spacing w:line="320" w:lineRule="exact"/>
              <w:rPr>
                <w:rFonts w:ascii="仿宋" w:hAnsi="仿宋" w:eastAsia="仿宋"/>
                <w:b w:val="0"/>
                <w:bCs/>
                <w:szCs w:val="21"/>
              </w:rPr>
            </w:pPr>
          </w:p>
        </w:tc>
        <w:tc>
          <w:tcPr>
            <w:tcW w:w="885" w:type="dxa"/>
          </w:tcPr>
          <w:p>
            <w:pPr>
              <w:spacing w:line="320" w:lineRule="exact"/>
              <w:rPr>
                <w:rFonts w:ascii="仿宋" w:hAnsi="仿宋" w:eastAsia="仿宋"/>
                <w:b w:val="0"/>
                <w:bCs/>
                <w:szCs w:val="21"/>
              </w:rPr>
            </w:pPr>
          </w:p>
        </w:tc>
        <w:tc>
          <w:tcPr>
            <w:tcW w:w="855" w:type="dxa"/>
          </w:tcPr>
          <w:p>
            <w:pPr>
              <w:spacing w:line="320" w:lineRule="exact"/>
              <w:rPr>
                <w:rFonts w:ascii="仿宋" w:hAnsi="仿宋" w:eastAsia="仿宋"/>
                <w:b w:val="0"/>
                <w:bCs/>
                <w:szCs w:val="21"/>
              </w:rPr>
            </w:pPr>
          </w:p>
        </w:tc>
        <w:tc>
          <w:tcPr>
            <w:tcW w:w="175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4"/>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8"/>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1681A6F"/>
    <w:multiLevelType w:val="singleLevel"/>
    <w:tmpl w:val="71681A6F"/>
    <w:lvl w:ilvl="0" w:tentative="0">
      <w:start w:val="1"/>
      <w:numFmt w:val="decimal"/>
      <w:lvlText w:val="%1."/>
      <w:lvlJc w:val="left"/>
      <w:pPr>
        <w:ind w:left="63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NzhkNjAxMzFkOTZhZGM2YWZlNmFhZjExMzRmN2U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6D38B5"/>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11414C"/>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72EB2"/>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3F90DE1"/>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00679"/>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5FA6D2F"/>
    <w:rsid w:val="768840AF"/>
    <w:rsid w:val="76A81B2B"/>
    <w:rsid w:val="76EA5E9C"/>
    <w:rsid w:val="771C3B7F"/>
    <w:rsid w:val="775650A9"/>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adjustRightInd w:val="0"/>
      <w:snapToGrid w:val="0"/>
    </w:pPr>
    <w:rPr>
      <w:rFonts w:ascii="Tahoma" w:hAnsi="Tahoma" w:eastAsia="微软雅黑" w:cs="Times New Roman"/>
      <w:sz w:val="22"/>
      <w:szCs w:val="22"/>
      <w:lang w:val="en-US" w:eastAsia="zh-CN" w:bidi="ar-SA"/>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next w:val="7"/>
    <w:qFormat/>
    <w:uiPriority w:val="0"/>
    <w:pPr>
      <w:spacing w:after="120"/>
      <w:ind w:left="420" w:leftChars="200"/>
    </w:pPr>
    <w:rPr>
      <w:rFonts w:ascii="宋体"/>
    </w:rPr>
  </w:style>
  <w:style w:type="paragraph" w:styleId="7">
    <w:name w:val="envelope return"/>
    <w:basedOn w:val="1"/>
    <w:qFormat/>
    <w:uiPriority w:val="0"/>
    <w:pPr>
      <w:snapToGrid w:val="0"/>
    </w:pPr>
    <w:rPr>
      <w:rFonts w:ascii="Arial" w:hAnsi="Arial"/>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3"/>
    <w:unhideWhenUsed/>
    <w:qFormat/>
    <w:uiPriority w:val="99"/>
    <w:pPr>
      <w:ind w:firstLine="420" w:firstLineChars="100"/>
    </w:pPr>
    <w:rPr>
      <w:rFonts w:ascii="Times New Roman" w:hAnsi="Times New Roman"/>
      <w:kern w:val="0"/>
      <w:sz w:val="20"/>
      <w:szCs w:val="20"/>
    </w:rPr>
  </w:style>
  <w:style w:type="paragraph" w:styleId="11">
    <w:name w:val="Body Text First Indent 2"/>
    <w:basedOn w:val="6"/>
    <w:next w:val="12"/>
    <w:unhideWhenUsed/>
    <w:qFormat/>
    <w:uiPriority w:val="0"/>
    <w:pPr>
      <w:ind w:firstLine="420" w:firstLineChars="200"/>
    </w:pPr>
  </w:style>
  <w:style w:type="paragraph" w:customStyle="1" w:styleId="1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qFormat/>
    <w:uiPriority w:val="99"/>
    <w:rPr>
      <w:sz w:val="18"/>
      <w:szCs w:val="18"/>
    </w:rPr>
  </w:style>
  <w:style w:type="paragraph" w:customStyle="1" w:styleId="18">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9">
    <w:name w:val="NormalCharacter"/>
    <w:qFormat/>
    <w:uiPriority w:val="0"/>
  </w:style>
  <w:style w:type="paragraph" w:customStyle="1" w:styleId="20">
    <w:name w:val="List Paragraph"/>
    <w:basedOn w:val="1"/>
    <w:qFormat/>
    <w:uiPriority w:val="34"/>
    <w:pPr>
      <w:ind w:firstLine="420" w:firstLineChars="200"/>
    </w:pPr>
    <w:rPr>
      <w:rFonts w:asciiTheme="minorHAnsi" w:hAnsiTheme="minorHAnsi" w:eastAsiaTheme="minorEastAsia" w:cstheme="minorBidi"/>
    </w:rPr>
  </w:style>
  <w:style w:type="paragraph" w:customStyle="1" w:styleId="2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1704</Words>
  <Characters>1900</Characters>
  <Lines>6</Lines>
  <Paragraphs>1</Paragraphs>
  <TotalTime>2</TotalTime>
  <ScaleCrop>false</ScaleCrop>
  <LinksUpToDate>false</LinksUpToDate>
  <CharactersWithSpaces>2088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2022-07-04T01:48:24Z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1CEDD92C234E44C48923264CFCDA0D43</vt:lpwstr>
  </property>
</Properties>
</file>