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仿宋" w:hAnsi="仿宋" w:eastAsiaTheme="majorEastAsia"/>
          <w:sz w:val="32"/>
          <w:szCs w:val="32"/>
          <w:lang w:val="en-US"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血透机维保服务</w:t>
      </w:r>
      <w:r>
        <w:rPr>
          <w:rFonts w:hint="eastAsia" w:asciiTheme="majorEastAsia" w:hAnsiTheme="majorEastAsia" w:eastAsiaTheme="majorEastAsia"/>
          <w:b/>
          <w:sz w:val="32"/>
          <w:szCs w:val="32"/>
        </w:rPr>
        <w:t>项目初步参数论证征集意见表</w:t>
      </w:r>
      <w:r>
        <w:rPr>
          <w:rFonts w:hint="eastAsia" w:asciiTheme="majorEastAsia" w:hAnsiTheme="majorEastAsia" w:eastAsiaTheme="majorEastAsia"/>
          <w:b/>
          <w:sz w:val="32"/>
          <w:szCs w:val="32"/>
          <w:lang w:val="en-US" w:eastAsia="zh-CN"/>
        </w:rPr>
        <w:t>2</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w:t>
      </w:r>
      <w:r>
        <w:rPr>
          <w:rFonts w:hint="eastAsia" w:ascii="仿宋" w:hAnsi="仿宋" w:eastAsia="仿宋"/>
          <w:szCs w:val="21"/>
          <w:lang w:eastAsia="zh-CN"/>
        </w:rPr>
        <w:t>工程部</w:t>
      </w:r>
      <w:r>
        <w:rPr>
          <w:rFonts w:hint="eastAsia" w:ascii="仿宋" w:hAnsi="仿宋" w:eastAsia="仿宋"/>
          <w:szCs w:val="21"/>
        </w:rPr>
        <w:t>：</w:t>
      </w:r>
      <w:r>
        <w:rPr>
          <w:rFonts w:hint="eastAsia" w:ascii="仿宋" w:hAnsi="仿宋" w:eastAsia="仿宋"/>
          <w:szCs w:val="21"/>
          <w:u w:val="single"/>
          <w:lang w:val="en-US" w:eastAsia="zh-CN"/>
        </w:rPr>
        <w:t>laszyysbgcb@163.com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1年，保修范围不包含须定期更换零部件，须定期更换零部件报价清单如下...；二是将须定期更换零部件变为耗材，恶意降低货物价格，提高耗材价（或直接提高耗材报价）。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6"/>
        <w:gridCol w:w="561"/>
        <w:gridCol w:w="3287"/>
        <w:gridCol w:w="1132"/>
        <w:gridCol w:w="740"/>
        <w:gridCol w:w="725"/>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维保形式</w:t>
            </w:r>
            <w:r>
              <w:rPr>
                <w:rFonts w:hint="eastAsia" w:ascii="仿宋" w:hAnsi="仿宋" w:eastAsia="仿宋" w:cs="仿宋"/>
                <w:sz w:val="24"/>
                <w:szCs w:val="24"/>
                <w:lang w:eastAsia="zh-CN"/>
              </w:rPr>
              <w:t>：</w:t>
            </w:r>
            <w:r>
              <w:rPr>
                <w:rFonts w:hint="eastAsia" w:ascii="仿宋" w:hAnsi="仿宋" w:eastAsia="仿宋" w:cs="仿宋"/>
                <w:sz w:val="24"/>
                <w:szCs w:val="24"/>
              </w:rPr>
              <w:t>全保，在保修服务期内免费提供所有保修所需配件及需不定期更换的耗品（含各种人为或非人为因素导致的故障，故意恶性损坏的除外）；</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维保期限</w:t>
            </w:r>
            <w:r>
              <w:rPr>
                <w:rFonts w:hint="eastAsia" w:ascii="仿宋" w:hAnsi="仿宋" w:eastAsia="仿宋" w:cs="仿宋"/>
                <w:sz w:val="24"/>
                <w:szCs w:val="24"/>
                <w:lang w:eastAsia="zh-CN"/>
              </w:rPr>
              <w:t>：</w:t>
            </w:r>
            <w:r>
              <w:rPr>
                <w:rFonts w:hint="eastAsia" w:ascii="仿宋" w:hAnsi="仿宋" w:eastAsia="仿宋" w:cs="仿宋"/>
                <w:sz w:val="24"/>
                <w:szCs w:val="24"/>
              </w:rPr>
              <w:t>本次</w:t>
            </w:r>
            <w:r>
              <w:rPr>
                <w:rFonts w:hint="eastAsia" w:ascii="仿宋" w:hAnsi="仿宋" w:eastAsia="仿宋" w:cs="仿宋"/>
                <w:sz w:val="24"/>
                <w:szCs w:val="24"/>
                <w:lang w:eastAsia="zh-CN"/>
              </w:rPr>
              <w:t>谈判</w:t>
            </w:r>
            <w:r>
              <w:rPr>
                <w:rFonts w:hint="eastAsia" w:ascii="仿宋" w:hAnsi="仿宋" w:eastAsia="仿宋" w:cs="仿宋"/>
                <w:sz w:val="24"/>
                <w:szCs w:val="24"/>
              </w:rPr>
              <w:t>服务周期为期</w:t>
            </w:r>
            <w:r>
              <w:rPr>
                <w:rFonts w:hint="eastAsia" w:ascii="仿宋" w:hAnsi="仿宋" w:eastAsia="仿宋" w:cs="仿宋"/>
                <w:sz w:val="24"/>
                <w:szCs w:val="24"/>
                <w:lang w:eastAsia="zh-CN"/>
              </w:rPr>
              <w:t>一</w:t>
            </w:r>
            <w:r>
              <w:rPr>
                <w:rFonts w:hint="eastAsia" w:ascii="仿宋" w:hAnsi="仿宋" w:eastAsia="仿宋" w:cs="仿宋"/>
                <w:sz w:val="24"/>
                <w:szCs w:val="24"/>
              </w:rPr>
              <w:t>年</w:t>
            </w:r>
            <w:r>
              <w:rPr>
                <w:rFonts w:hint="eastAsia" w:ascii="仿宋" w:hAnsi="仿宋" w:eastAsia="仿宋" w:cs="仿宋"/>
                <w:sz w:val="24"/>
                <w:szCs w:val="24"/>
                <w:lang w:eastAsia="zh-CN"/>
              </w:rPr>
              <w:t>，经考核合格后续签下一年度合同，原则续签时间不超过两年</w:t>
            </w:r>
            <w:bookmarkStart w:id="0" w:name="_GoBack"/>
            <w:bookmarkEnd w:id="0"/>
            <w:r>
              <w:rPr>
                <w:rFonts w:hint="eastAsia" w:ascii="仿宋" w:hAnsi="仿宋" w:eastAsia="仿宋" w:cs="仿宋"/>
                <w:sz w:val="24"/>
                <w:szCs w:val="24"/>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服务内容</w:t>
            </w:r>
            <w:r>
              <w:rPr>
                <w:rFonts w:hint="eastAsia" w:ascii="仿宋" w:hAnsi="仿宋" w:eastAsia="仿宋" w:cs="仿宋"/>
                <w:sz w:val="24"/>
                <w:szCs w:val="24"/>
                <w:lang w:eastAsia="zh-CN"/>
              </w:rPr>
              <w:t>：</w:t>
            </w:r>
            <w:r>
              <w:rPr>
                <w:rFonts w:hint="eastAsia" w:ascii="仿宋" w:hAnsi="仿宋" w:eastAsia="仿宋" w:cs="仿宋"/>
                <w:sz w:val="24"/>
                <w:szCs w:val="24"/>
              </w:rPr>
              <w:t>提供</w:t>
            </w:r>
            <w:r>
              <w:rPr>
                <w:rFonts w:hint="eastAsia" w:ascii="仿宋" w:hAnsi="仿宋" w:eastAsia="仿宋" w:cs="仿宋"/>
                <w:sz w:val="24"/>
                <w:szCs w:val="24"/>
                <w:lang w:eastAsia="zh-CN"/>
              </w:rPr>
              <w:t>出原厂维保期的血透机</w:t>
            </w:r>
            <w:r>
              <w:rPr>
                <w:rFonts w:hint="eastAsia" w:ascii="仿宋" w:hAnsi="仿宋" w:eastAsia="仿宋" w:cs="仿宋"/>
                <w:sz w:val="24"/>
                <w:szCs w:val="24"/>
              </w:rPr>
              <w:t>全保服务，全保范围包括</w:t>
            </w:r>
            <w:r>
              <w:rPr>
                <w:rFonts w:hint="eastAsia" w:ascii="仿宋" w:hAnsi="仿宋" w:eastAsia="仿宋" w:cs="仿宋"/>
                <w:sz w:val="24"/>
                <w:szCs w:val="24"/>
                <w:lang w:eastAsia="zh-CN"/>
              </w:rPr>
              <w:t>但不限于控制板、泵阀组件、管路、传感器、软件等</w:t>
            </w:r>
            <w:r>
              <w:rPr>
                <w:rFonts w:hint="eastAsia" w:ascii="仿宋" w:hAnsi="仿宋" w:eastAsia="仿宋" w:cs="仿宋"/>
                <w:sz w:val="24"/>
                <w:szCs w:val="24"/>
              </w:rPr>
              <w:t>所有的维修配件、人工、税金等涉及到的所有费用，包含不限次数的现场检修，定期维护保养</w:t>
            </w:r>
            <w:r>
              <w:rPr>
                <w:rFonts w:hint="eastAsia" w:ascii="仿宋" w:hAnsi="仿宋" w:eastAsia="仿宋" w:cs="仿宋"/>
                <w:sz w:val="24"/>
                <w:szCs w:val="24"/>
                <w:lang w:eastAsia="zh-CN"/>
              </w:rPr>
              <w:t>。设备更换配件可正常使用时，需使用科室主任或护士长现场确认签字后方可投入使用。设备无法维修需要报废的，乙方需及时告知使用科室与设备工程部，三方均同意报废方可停止维修，设备停止维修且维保时间不满一年的，按实际在保天数折算保修费。</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人员资质</w:t>
            </w:r>
            <w:r>
              <w:rPr>
                <w:rFonts w:hint="eastAsia" w:ascii="仿宋" w:hAnsi="仿宋" w:eastAsia="仿宋" w:cs="仿宋"/>
                <w:sz w:val="24"/>
                <w:szCs w:val="24"/>
                <w:lang w:eastAsia="zh-CN"/>
              </w:rPr>
              <w:t>：</w:t>
            </w:r>
            <w:r>
              <w:rPr>
                <w:rFonts w:hint="eastAsia" w:ascii="仿宋" w:hAnsi="仿宋" w:eastAsia="仿宋" w:cs="仿宋"/>
                <w:sz w:val="24"/>
                <w:szCs w:val="24"/>
                <w:lang w:val="zh-CN" w:eastAsia="zh-CN"/>
              </w:rPr>
              <w:t>供应商</w:t>
            </w:r>
            <w:r>
              <w:rPr>
                <w:rFonts w:hint="eastAsia" w:ascii="仿宋" w:hAnsi="仿宋" w:eastAsia="仿宋" w:cs="仿宋"/>
                <w:sz w:val="24"/>
                <w:szCs w:val="24"/>
              </w:rPr>
              <w:t>有不少于2位有资质的工程师</w:t>
            </w:r>
            <w:r>
              <w:rPr>
                <w:rFonts w:hint="eastAsia" w:ascii="仿宋" w:hAnsi="仿宋" w:eastAsia="仿宋" w:cs="仿宋"/>
                <w:sz w:val="24"/>
                <w:szCs w:val="24"/>
                <w:lang w:eastAsia="zh-CN"/>
              </w:rPr>
              <w:t>，提供驻点工程师一名，驻点工程师需对科室水处理及集中供液设备观察、测试、使用，确保设备正常运行，发生故障报告使用科室及设备工程部。</w:t>
            </w:r>
            <w:r>
              <w:rPr>
                <w:rFonts w:hint="eastAsia" w:ascii="仿宋" w:hAnsi="仿宋" w:eastAsia="仿宋" w:cs="仿宋"/>
                <w:sz w:val="24"/>
                <w:szCs w:val="24"/>
              </w:rPr>
              <w:t>（具有</w:t>
            </w:r>
            <w:r>
              <w:rPr>
                <w:rFonts w:hint="eastAsia" w:ascii="仿宋" w:hAnsi="仿宋" w:eastAsia="仿宋" w:cs="仿宋"/>
                <w:sz w:val="24"/>
                <w:szCs w:val="24"/>
                <w:lang w:eastAsia="zh-CN"/>
              </w:rPr>
              <w:t>血液透析机维修</w:t>
            </w:r>
            <w:r>
              <w:rPr>
                <w:rFonts w:hint="eastAsia" w:ascii="仿宋" w:hAnsi="仿宋" w:eastAsia="仿宋" w:cs="仿宋"/>
                <w:sz w:val="24"/>
                <w:szCs w:val="24"/>
              </w:rPr>
              <w:t>培训考核合格的服务资质证，提供资质证书原件扫描件）</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配件保障</w:t>
            </w:r>
            <w:r>
              <w:rPr>
                <w:rFonts w:hint="eastAsia" w:ascii="仿宋" w:hAnsi="仿宋" w:eastAsia="仿宋" w:cs="仿宋"/>
                <w:sz w:val="24"/>
                <w:szCs w:val="24"/>
                <w:lang w:eastAsia="zh-CN"/>
              </w:rPr>
              <w:t>、</w:t>
            </w:r>
            <w:r>
              <w:rPr>
                <w:rFonts w:hint="eastAsia" w:ascii="仿宋" w:hAnsi="仿宋" w:eastAsia="仿宋" w:cs="仿宋"/>
                <w:sz w:val="24"/>
                <w:szCs w:val="24"/>
                <w:lang w:val="zh-CN" w:eastAsia="zh-CN"/>
              </w:rPr>
              <w:t>供应商</w:t>
            </w:r>
            <w:r>
              <w:rPr>
                <w:rFonts w:hint="eastAsia" w:ascii="仿宋" w:hAnsi="仿宋" w:eastAsia="仿宋" w:cs="仿宋"/>
                <w:sz w:val="24"/>
                <w:szCs w:val="24"/>
              </w:rPr>
              <w:t>必须具备充足以及及时的备件供应能力：</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5.1</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更换的配件必须是符合国家相关法规的且为合法生产企业生产合格的零配件。更换后应满足设备正常运行，确保不会给原设备带来安全隐患</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2"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cs="仿宋"/>
                <w:sz w:val="24"/>
                <w:szCs w:val="24"/>
                <w:lang w:val="en-US" w:eastAsia="zh-CN"/>
              </w:rPr>
              <w:t>5.2</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b w:val="0"/>
                <w:bCs/>
                <w:color w:val="auto"/>
                <w:szCs w:val="21"/>
                <w:highlight w:val="none"/>
                <w:lang w:val="zh-CN"/>
              </w:rPr>
              <w:t>更换的零配件在更换前须向采购人</w:t>
            </w:r>
            <w:r>
              <w:rPr>
                <w:rFonts w:ascii="仿宋" w:hAnsi="仿宋" w:eastAsia="仿宋" w:cs="仿宋"/>
                <w:color w:val="auto"/>
                <w:kern w:val="0"/>
                <w:sz w:val="21"/>
                <w:szCs w:val="21"/>
                <w:highlight w:val="none"/>
                <w:lang w:val="en-US" w:eastAsia="zh-CN" w:bidi="ar"/>
              </w:rPr>
              <w:t>提供产品合格证、发票和其它</w:t>
            </w:r>
            <w:r>
              <w:rPr>
                <w:rFonts w:hint="eastAsia" w:ascii="仿宋" w:hAnsi="仿宋" w:eastAsia="仿宋" w:cs="仿宋"/>
                <w:color w:val="auto"/>
                <w:kern w:val="0"/>
                <w:sz w:val="21"/>
                <w:szCs w:val="21"/>
                <w:highlight w:val="none"/>
                <w:lang w:val="en-US" w:eastAsia="zh-CN" w:bidi="ar"/>
              </w:rPr>
              <w:t>证明产品来源</w:t>
            </w:r>
            <w:r>
              <w:rPr>
                <w:rFonts w:ascii="仿宋" w:hAnsi="仿宋" w:eastAsia="仿宋" w:cs="仿宋"/>
                <w:color w:val="auto"/>
                <w:kern w:val="0"/>
                <w:sz w:val="21"/>
                <w:szCs w:val="21"/>
                <w:highlight w:val="none"/>
                <w:lang w:val="en-US" w:eastAsia="zh-CN" w:bidi="ar"/>
              </w:rPr>
              <w:t>应具有的单证:若所提供的备件是进</w:t>
            </w:r>
            <w:r>
              <w:rPr>
                <w:rFonts w:hint="eastAsia" w:ascii="仿宋" w:hAnsi="仿宋" w:eastAsia="仿宋" w:cs="仿宋"/>
                <w:color w:val="auto"/>
                <w:kern w:val="0"/>
                <w:sz w:val="21"/>
                <w:szCs w:val="21"/>
                <w:highlight w:val="none"/>
                <w:lang w:val="en-US" w:eastAsia="zh-CN" w:bidi="ar"/>
              </w:rPr>
              <w:t>口产品,则须提供合法的单证如进口报关资料、商检证明联</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3</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1"/>
                <w:szCs w:val="21"/>
                <w:highlight w:val="none"/>
                <w:lang w:val="en-US" w:eastAsia="zh-CN" w:bidi="ar"/>
              </w:rPr>
              <w:t>在采购人处设置常规易损易坏配件库:对常用配件须保持一定库存量，按采购人要求设置警戒量，低于警戒量时须在5个工作日内及时补货,且保证配件的及时有效供应,根据医院血液透析设备情况提供配件清单。</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ascii="仿宋" w:hAnsi="仿宋" w:eastAsia="仿宋"/>
                <w:b w:val="0"/>
                <w:bCs/>
                <w:szCs w:val="21"/>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质量保障</w:t>
            </w:r>
            <w:r>
              <w:rPr>
                <w:rFonts w:hint="eastAsia" w:ascii="仿宋" w:hAnsi="仿宋" w:eastAsia="仿宋" w:cs="仿宋"/>
                <w:sz w:val="24"/>
                <w:szCs w:val="24"/>
                <w:lang w:eastAsia="zh-CN"/>
              </w:rPr>
              <w:t>：</w:t>
            </w:r>
            <w:r>
              <w:rPr>
                <w:rFonts w:hint="eastAsia" w:ascii="仿宋" w:hAnsi="仿宋" w:eastAsia="仿宋"/>
                <w:b w:val="0"/>
                <w:bCs/>
                <w:color w:val="auto"/>
                <w:szCs w:val="21"/>
                <w:highlight w:val="none"/>
                <w:lang w:val="zh-CN"/>
              </w:rPr>
              <w:t>定期保养维护</w:t>
            </w:r>
            <w:r>
              <w:rPr>
                <w:rFonts w:hint="eastAsia" w:ascii="仿宋" w:hAnsi="仿宋" w:eastAsia="仿宋"/>
                <w:b w:val="0"/>
                <w:bCs/>
                <w:color w:val="auto"/>
                <w:sz w:val="21"/>
                <w:szCs w:val="21"/>
                <w:highlight w:val="none"/>
                <w:lang w:val="zh-CN"/>
              </w:rPr>
              <w:t>：</w:t>
            </w:r>
            <w:r>
              <w:rPr>
                <w:rFonts w:ascii="仿宋" w:hAnsi="仿宋" w:eastAsia="仿宋" w:cs="仿宋"/>
                <w:color w:val="auto"/>
                <w:kern w:val="0"/>
                <w:sz w:val="21"/>
                <w:szCs w:val="21"/>
                <w:highlight w:val="none"/>
                <w:lang w:val="en-US" w:eastAsia="zh-CN" w:bidi="ar"/>
              </w:rPr>
              <w:t>按照血液透析时间要求，定期对其进行保养。以不影响病人治疗为原则，</w:t>
            </w:r>
            <w:r>
              <w:rPr>
                <w:rFonts w:hint="eastAsia" w:ascii="仿宋" w:hAnsi="仿宋" w:eastAsia="仿宋" w:cs="仿宋"/>
                <w:color w:val="auto"/>
                <w:kern w:val="0"/>
                <w:sz w:val="21"/>
                <w:szCs w:val="21"/>
                <w:highlight w:val="none"/>
                <w:lang w:val="en-US" w:eastAsia="zh-CN" w:bidi="ar"/>
              </w:rPr>
              <w:t>以设备空闲时轮流对血液透析机进行保养，并记录在案</w:t>
            </w:r>
            <w:r>
              <w:rPr>
                <w:rFonts w:hint="eastAsia" w:ascii="仿宋" w:hAnsi="仿宋" w:eastAsia="仿宋" w:cs="仿宋"/>
                <w:color w:val="auto"/>
                <w:kern w:val="0"/>
                <w:sz w:val="24"/>
                <w:szCs w:val="24"/>
                <w:highlight w:val="none"/>
                <w:lang w:val="en-US" w:eastAsia="zh-CN" w:bidi="ar"/>
              </w:rPr>
              <w:t>。</w:t>
            </w:r>
            <w:r>
              <w:rPr>
                <w:rFonts w:hint="eastAsia" w:ascii="仿宋" w:hAnsi="仿宋" w:eastAsia="仿宋"/>
                <w:b w:val="0"/>
                <w:bCs/>
                <w:color w:val="auto"/>
                <w:szCs w:val="21"/>
                <w:highlight w:val="none"/>
                <w:lang w:val="zh-CN"/>
              </w:rPr>
              <w:t>应包括且不仅限于机器清洁除尘、性能测试及校准、必要的机械、水路或电气的检查，以及非紧急性质的补救维修，确保系统能按照制造商的产品规格运行的维修，并出具巡检保养报告。</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7</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szCs w:val="24"/>
              </w:rPr>
              <w:t>响应保障</w:t>
            </w:r>
            <w:r>
              <w:rPr>
                <w:rFonts w:hint="eastAsia" w:ascii="仿宋" w:hAnsi="仿宋" w:eastAsia="仿宋" w:cs="仿宋"/>
                <w:sz w:val="24"/>
                <w:szCs w:val="24"/>
                <w:lang w:eastAsia="zh-CN"/>
              </w:rPr>
              <w:t>：</w:t>
            </w:r>
            <w:r>
              <w:rPr>
                <w:rFonts w:hint="eastAsia" w:ascii="仿宋" w:hAnsi="仿宋" w:eastAsia="仿宋"/>
                <w:b w:val="0"/>
                <w:bCs/>
                <w:color w:val="auto"/>
                <w:szCs w:val="21"/>
                <w:highlight w:val="none"/>
                <w:lang w:val="zh-CN"/>
              </w:rPr>
              <w:t>有专人驻点维修，驻点工程师必须具有扎实专业技术与独立处理故障能力，使用科室有权对其进行考核或要求调换。上班时间与科室时间一致，乙方工程师接到报修应即时诊断故障解决问题。因需要更换配件导致现场不能解决故障的情况下，乙方应立即联系准备配件，常规零备件到达医院的时间最长不超过48小时（仓库全365天响应）。提供相应承诺函（承诺函须体现此内容，格式自拟）。中标人对约定范围内的维保设备故障无法解决时，招标人有权要求供应商联系设备生产厂家售进行维修，由此产生的一切费用由供应商单位负责。提供相应承诺函（格式自拟，但须包含上述内容）</w:t>
            </w:r>
            <w:r>
              <w:rPr>
                <w:rFonts w:hint="eastAsia" w:ascii="仿宋" w:hAnsi="仿宋" w:eastAsia="仿宋" w:cs="仿宋"/>
                <w:color w:val="auto"/>
                <w:sz w:val="24"/>
                <w:szCs w:val="24"/>
                <w:lang w:val="en-US"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8</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开机率：</w:t>
            </w:r>
            <w:r>
              <w:rPr>
                <w:rFonts w:hint="eastAsia" w:ascii="仿宋" w:hAnsi="仿宋" w:eastAsia="仿宋" w:cs="仿宋"/>
                <w:sz w:val="24"/>
                <w:szCs w:val="24"/>
                <w:lang w:eastAsia="zh-CN"/>
              </w:rPr>
              <w:t>成交供应商</w:t>
            </w:r>
            <w:r>
              <w:rPr>
                <w:rFonts w:hint="eastAsia" w:ascii="仿宋" w:hAnsi="仿宋" w:eastAsia="仿宋" w:cs="仿宋"/>
                <w:sz w:val="24"/>
                <w:szCs w:val="24"/>
              </w:rPr>
              <w:t>应保证所维保设备的年工作日开机率达到96%（一年按照365天核定），未达到按照1:3比例顺延保修期时间</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9</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成交供应商</w:t>
            </w:r>
            <w:r>
              <w:rPr>
                <w:rFonts w:hint="eastAsia" w:ascii="仿宋" w:hAnsi="仿宋" w:eastAsia="仿宋" w:cs="仿宋"/>
                <w:sz w:val="24"/>
                <w:szCs w:val="24"/>
              </w:rPr>
              <w:t>在实施过程中必须建立健全的设备保养制度，提供维保工作记录，工单应一式叁份，采购人设备</w:t>
            </w:r>
            <w:r>
              <w:rPr>
                <w:rFonts w:hint="eastAsia" w:ascii="仿宋" w:hAnsi="仿宋" w:eastAsia="仿宋" w:cs="仿宋"/>
                <w:sz w:val="24"/>
                <w:szCs w:val="24"/>
                <w:lang w:eastAsia="zh-CN"/>
              </w:rPr>
              <w:t>工程部</w:t>
            </w:r>
            <w:r>
              <w:rPr>
                <w:rFonts w:hint="eastAsia" w:ascii="仿宋" w:hAnsi="仿宋" w:eastAsia="仿宋" w:cs="仿宋"/>
                <w:sz w:val="24"/>
                <w:szCs w:val="24"/>
              </w:rPr>
              <w:t>和设备使用科室以及</w:t>
            </w:r>
            <w:r>
              <w:rPr>
                <w:rFonts w:hint="eastAsia" w:ascii="仿宋" w:hAnsi="仿宋" w:eastAsia="仿宋" w:cs="仿宋"/>
                <w:sz w:val="24"/>
                <w:szCs w:val="24"/>
                <w:lang w:eastAsia="zh-CN"/>
              </w:rPr>
              <w:t>供应商</w:t>
            </w:r>
            <w:r>
              <w:rPr>
                <w:rFonts w:hint="eastAsia" w:ascii="仿宋" w:hAnsi="仿宋" w:eastAsia="仿宋" w:cs="仿宋"/>
                <w:sz w:val="24"/>
                <w:szCs w:val="24"/>
              </w:rPr>
              <w:t>各一份</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供应商</w:t>
            </w:r>
            <w:r>
              <w:rPr>
                <w:rFonts w:hint="eastAsia" w:ascii="仿宋" w:hAnsi="仿宋" w:eastAsia="仿宋" w:cs="仿宋"/>
                <w:sz w:val="24"/>
                <w:szCs w:val="24"/>
              </w:rPr>
              <w:t>应提供完善的服务响应方案，其中：维保方案包含专项组织机构、现场管理制度、</w:t>
            </w:r>
            <w:r>
              <w:rPr>
                <w:rFonts w:hint="eastAsia" w:ascii="仿宋" w:hAnsi="仿宋" w:eastAsia="仿宋" w:cs="仿宋"/>
                <w:color w:val="auto"/>
                <w:sz w:val="24"/>
                <w:szCs w:val="24"/>
                <w:lang w:eastAsia="zh-CN"/>
              </w:rPr>
              <w:t>到场</w:t>
            </w:r>
            <w:r>
              <w:rPr>
                <w:rFonts w:hint="eastAsia" w:ascii="仿宋" w:hAnsi="仿宋" w:eastAsia="仿宋" w:cs="仿宋"/>
                <w:sz w:val="24"/>
                <w:szCs w:val="24"/>
              </w:rPr>
              <w:t>工程师标准作业程序、质量保障措施、维修维护计划及应急预案</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协助医院设备</w:t>
            </w:r>
            <w:r>
              <w:rPr>
                <w:rFonts w:hint="eastAsia" w:ascii="仿宋" w:hAnsi="仿宋" w:eastAsia="仿宋" w:cs="仿宋"/>
                <w:sz w:val="24"/>
                <w:szCs w:val="24"/>
                <w:lang w:eastAsia="zh-CN"/>
              </w:rPr>
              <w:t>工程部</w:t>
            </w:r>
            <w:r>
              <w:rPr>
                <w:rFonts w:hint="eastAsia" w:ascii="仿宋" w:hAnsi="仿宋" w:eastAsia="仿宋" w:cs="仿宋"/>
                <w:sz w:val="24"/>
                <w:szCs w:val="24"/>
              </w:rPr>
              <w:t>按国家主管部门要求对所维保设备进行每年度 1 次的质控检测评估</w:t>
            </w:r>
            <w:r>
              <w:rPr>
                <w:rFonts w:hint="eastAsia" w:ascii="仿宋" w:hAnsi="仿宋" w:eastAsia="仿宋" w:cs="仿宋"/>
                <w:sz w:val="24"/>
                <w:szCs w:val="24"/>
                <w:highlight w:val="none"/>
              </w:rPr>
              <w:t>，并出具评估报告</w:t>
            </w:r>
            <w:r>
              <w:rPr>
                <w:rFonts w:hint="eastAsia" w:ascii="仿宋" w:hAnsi="仿宋" w:eastAsia="仿宋" w:cs="仿宋"/>
                <w:sz w:val="24"/>
                <w:szCs w:val="24"/>
                <w:highlight w:val="none"/>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highlight w:val="none"/>
              </w:rPr>
              <w:t>经第三方鉴定机构鉴定后，</w:t>
            </w:r>
            <w:r>
              <w:rPr>
                <w:rFonts w:hint="eastAsia" w:ascii="仿宋" w:hAnsi="仿宋" w:eastAsia="仿宋" w:cs="仿宋"/>
                <w:sz w:val="24"/>
                <w:szCs w:val="24"/>
                <w:highlight w:val="none"/>
                <w:lang w:val="zh-CN"/>
              </w:rPr>
              <w:t>成交供应商</w:t>
            </w:r>
            <w:r>
              <w:rPr>
                <w:rFonts w:hint="eastAsia" w:ascii="仿宋" w:hAnsi="仿宋" w:eastAsia="仿宋" w:cs="仿宋"/>
                <w:sz w:val="24"/>
                <w:szCs w:val="24"/>
                <w:highlight w:val="none"/>
              </w:rPr>
              <w:t>在维修过程中，造成医院设备设施损坏、医疗责任事故等，由</w:t>
            </w:r>
            <w:r>
              <w:rPr>
                <w:rFonts w:hint="eastAsia" w:ascii="仿宋" w:hAnsi="仿宋" w:eastAsia="仿宋" w:cs="仿宋"/>
                <w:sz w:val="24"/>
                <w:szCs w:val="24"/>
                <w:highlight w:val="none"/>
                <w:lang w:val="zh-CN"/>
              </w:rPr>
              <w:t>成交供应商</w:t>
            </w:r>
            <w:r>
              <w:rPr>
                <w:rFonts w:hint="eastAsia" w:ascii="仿宋" w:hAnsi="仿宋" w:eastAsia="仿宋" w:cs="仿宋"/>
                <w:sz w:val="24"/>
                <w:szCs w:val="24"/>
                <w:highlight w:val="none"/>
              </w:rPr>
              <w:t>承担损失及赔偿</w:t>
            </w:r>
            <w:r>
              <w:rPr>
                <w:rFonts w:hint="eastAsia" w:ascii="仿宋" w:hAnsi="仿宋" w:eastAsia="仿宋" w:cs="仿宋"/>
                <w:sz w:val="24"/>
                <w:szCs w:val="24"/>
                <w:highlight w:val="none"/>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13</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ascii="仿宋" w:hAnsi="仿宋" w:eastAsia="仿宋" w:cs="仿宋"/>
                <w:sz w:val="24"/>
                <w:szCs w:val="24"/>
                <w:highlight w:val="none"/>
                <w:lang w:val="zh-CN"/>
              </w:rPr>
              <w:t>成交供应商</w:t>
            </w:r>
            <w:r>
              <w:rPr>
                <w:rFonts w:hint="eastAsia" w:ascii="仿宋" w:hAnsi="仿宋" w:eastAsia="仿宋" w:cs="仿宋"/>
                <w:sz w:val="24"/>
                <w:szCs w:val="24"/>
                <w:highlight w:val="none"/>
              </w:rPr>
              <w:t>须提交一份</w:t>
            </w:r>
            <w:r>
              <w:rPr>
                <w:rFonts w:hint="eastAsia" w:ascii="仿宋" w:hAnsi="仿宋" w:eastAsia="仿宋" w:cs="仿宋"/>
                <w:sz w:val="24"/>
                <w:szCs w:val="24"/>
                <w:highlight w:val="none"/>
                <w:lang w:eastAsia="zh-CN"/>
              </w:rPr>
              <w:t>合同期内的</w:t>
            </w:r>
            <w:r>
              <w:rPr>
                <w:rFonts w:hint="eastAsia" w:ascii="仿宋" w:hAnsi="仿宋" w:eastAsia="仿宋" w:cs="仿宋"/>
                <w:sz w:val="24"/>
                <w:szCs w:val="24"/>
                <w:highlight w:val="none"/>
              </w:rPr>
              <w:t>同品牌设备</w:t>
            </w:r>
            <w:r>
              <w:rPr>
                <w:rFonts w:hint="eastAsia" w:ascii="仿宋" w:hAnsi="仿宋" w:eastAsia="仿宋" w:cs="仿宋"/>
                <w:sz w:val="24"/>
                <w:szCs w:val="24"/>
                <w:highlight w:val="none"/>
                <w:lang w:eastAsia="zh-CN"/>
              </w:rPr>
              <w:t>维保</w:t>
            </w:r>
            <w:r>
              <w:rPr>
                <w:rFonts w:hint="eastAsia" w:ascii="仿宋" w:hAnsi="仿宋" w:eastAsia="仿宋" w:cs="仿宋"/>
                <w:sz w:val="24"/>
                <w:szCs w:val="24"/>
                <w:highlight w:val="none"/>
              </w:rPr>
              <w:t>服务的业绩合同原件扫描件（遮盖或不清晰或不全面按无效业绩）</w:t>
            </w:r>
            <w:r>
              <w:rPr>
                <w:rFonts w:hint="eastAsia" w:ascii="仿宋" w:hAnsi="仿宋" w:eastAsia="仿宋" w:cs="仿宋"/>
                <w:sz w:val="24"/>
                <w:szCs w:val="24"/>
                <w:highlight w:val="none"/>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14</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ascii="仿宋" w:hAnsi="仿宋" w:eastAsia="仿宋" w:cs="仿宋"/>
                <w:sz w:val="24"/>
                <w:szCs w:val="24"/>
                <w:highlight w:val="none"/>
                <w:lang w:val="zh-CN"/>
              </w:rPr>
              <w:t>成交供应商在维保期间须提供软件免费升级和培训服务，培训效果须满足临床需求，</w:t>
            </w:r>
            <w:r>
              <w:rPr>
                <w:rFonts w:hint="eastAsia" w:ascii="仿宋" w:hAnsi="仿宋" w:eastAsia="仿宋" w:cs="仿宋"/>
                <w:sz w:val="24"/>
                <w:szCs w:val="24"/>
                <w:highlight w:val="none"/>
              </w:rPr>
              <w:t>由此造成与软件免费升级和培训服务有关的</w:t>
            </w:r>
            <w:r>
              <w:rPr>
                <w:rFonts w:hint="eastAsia" w:ascii="仿宋" w:hAnsi="仿宋" w:eastAsia="仿宋" w:cs="仿宋"/>
                <w:sz w:val="24"/>
                <w:szCs w:val="24"/>
                <w:highlight w:val="none"/>
                <w:lang w:eastAsia="zh-CN"/>
              </w:rPr>
              <w:t>所有</w:t>
            </w:r>
            <w:r>
              <w:rPr>
                <w:rFonts w:hint="eastAsia" w:ascii="仿宋" w:hAnsi="仿宋" w:eastAsia="仿宋" w:cs="仿宋"/>
                <w:sz w:val="24"/>
                <w:szCs w:val="24"/>
                <w:highlight w:val="none"/>
              </w:rPr>
              <w:t>费用由</w:t>
            </w:r>
            <w:r>
              <w:rPr>
                <w:rFonts w:hint="eastAsia" w:ascii="仿宋" w:hAnsi="仿宋" w:eastAsia="仿宋" w:cs="仿宋"/>
                <w:sz w:val="24"/>
                <w:szCs w:val="24"/>
                <w:highlight w:val="none"/>
                <w:lang w:val="zh-CN"/>
              </w:rPr>
              <w:t>成交供应商</w:t>
            </w:r>
            <w:r>
              <w:rPr>
                <w:rFonts w:hint="eastAsia" w:ascii="仿宋" w:hAnsi="仿宋" w:eastAsia="仿宋" w:cs="仿宋"/>
                <w:sz w:val="24"/>
                <w:szCs w:val="24"/>
                <w:highlight w:val="none"/>
              </w:rPr>
              <w:t>承担，此损失</w:t>
            </w:r>
            <w:r>
              <w:rPr>
                <w:rFonts w:hint="eastAsia" w:ascii="仿宋" w:hAnsi="仿宋" w:eastAsia="仿宋" w:cs="仿宋"/>
                <w:sz w:val="24"/>
                <w:szCs w:val="24"/>
                <w:highlight w:val="none"/>
                <w:lang w:eastAsia="zh-CN"/>
              </w:rPr>
              <w:t>自动</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zh-CN"/>
              </w:rPr>
              <w:t>成交供应商</w:t>
            </w:r>
            <w:r>
              <w:rPr>
                <w:rFonts w:hint="eastAsia" w:ascii="仿宋" w:hAnsi="仿宋" w:eastAsia="仿宋" w:cs="仿宋"/>
                <w:sz w:val="24"/>
                <w:szCs w:val="24"/>
                <w:highlight w:val="none"/>
              </w:rPr>
              <w:t>履约保证金中</w:t>
            </w:r>
            <w:r>
              <w:rPr>
                <w:rFonts w:hint="eastAsia" w:ascii="仿宋" w:hAnsi="仿宋" w:eastAsia="仿宋" w:cs="仿宋"/>
                <w:sz w:val="24"/>
                <w:szCs w:val="24"/>
                <w:highlight w:val="none"/>
                <w:lang w:eastAsia="zh-CN"/>
              </w:rPr>
              <w:t>扣除；</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15</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lang w:eastAsia="zh-CN"/>
              </w:rPr>
              <w:t>谈判</w:t>
            </w:r>
            <w:r>
              <w:rPr>
                <w:rFonts w:hint="eastAsia" w:ascii="仿宋" w:hAnsi="仿宋" w:eastAsia="仿宋" w:cs="仿宋"/>
                <w:sz w:val="24"/>
                <w:szCs w:val="24"/>
              </w:rPr>
              <w:t>报价</w:t>
            </w:r>
            <w:r>
              <w:rPr>
                <w:rFonts w:hint="eastAsia" w:ascii="仿宋" w:hAnsi="仿宋" w:eastAsia="仿宋" w:cs="仿宋"/>
                <w:sz w:val="24"/>
                <w:szCs w:val="24"/>
                <w:lang w:eastAsia="zh-CN"/>
              </w:rPr>
              <w:t>含所有费用</w:t>
            </w:r>
            <w:r>
              <w:rPr>
                <w:rFonts w:hint="eastAsia" w:ascii="仿宋" w:hAnsi="仿宋" w:eastAsia="仿宋" w:cs="仿宋"/>
                <w:sz w:val="24"/>
                <w:szCs w:val="24"/>
              </w:rPr>
              <w:t>（即在采购期限【</w:t>
            </w:r>
            <w:r>
              <w:rPr>
                <w:rFonts w:hint="eastAsia" w:ascii="仿宋" w:hAnsi="仿宋" w:eastAsia="仿宋" w:cs="仿宋"/>
                <w:sz w:val="24"/>
                <w:szCs w:val="24"/>
                <w:lang w:val="en-US" w:eastAsia="zh-CN"/>
              </w:rPr>
              <w:t>1</w:t>
            </w:r>
            <w:r>
              <w:rPr>
                <w:rFonts w:hint="eastAsia" w:ascii="仿宋" w:hAnsi="仿宋" w:eastAsia="仿宋" w:cs="仿宋"/>
                <w:sz w:val="24"/>
                <w:szCs w:val="24"/>
              </w:rPr>
              <w:t>年】，报价须包含设备正常运行所必须的一切费用，采购人不支付任何费用。</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CB54385"/>
    <w:multiLevelType w:val="singleLevel"/>
    <w:tmpl w:val="7CB543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2552E4"/>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1C81380"/>
    <w:rsid w:val="421279E6"/>
    <w:rsid w:val="423F3439"/>
    <w:rsid w:val="42611F54"/>
    <w:rsid w:val="427E62A6"/>
    <w:rsid w:val="42985C27"/>
    <w:rsid w:val="42C1143C"/>
    <w:rsid w:val="42D57D44"/>
    <w:rsid w:val="434D63C0"/>
    <w:rsid w:val="434D745C"/>
    <w:rsid w:val="43E95815"/>
    <w:rsid w:val="43F30ABF"/>
    <w:rsid w:val="44364CD0"/>
    <w:rsid w:val="44472C6C"/>
    <w:rsid w:val="448E1FA2"/>
    <w:rsid w:val="44E70410"/>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CE430D4"/>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5C7884"/>
    <w:rsid w:val="615F7991"/>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autoRedefine/>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autoRedefine/>
    <w:semiHidden/>
    <w:unhideWhenUsed/>
    <w:qFormat/>
    <w:uiPriority w:val="99"/>
    <w:pPr>
      <w:spacing w:after="120"/>
      <w:ind w:left="420" w:leftChars="200"/>
    </w:p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autoRedefine/>
    <w:semiHidden/>
    <w:unhideWhenUsed/>
    <w:qFormat/>
    <w:uiPriority w:val="99"/>
    <w:pPr>
      <w:ind w:firstLine="420" w:firstLineChars="200"/>
    </w:pPr>
  </w:style>
  <w:style w:type="table" w:styleId="11">
    <w:name w:val="Table Grid"/>
    <w:basedOn w:val="1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autoRedefine/>
    <w:semiHidden/>
    <w:qFormat/>
    <w:uiPriority w:val="99"/>
    <w:rPr>
      <w:sz w:val="18"/>
      <w:szCs w:val="18"/>
    </w:rPr>
  </w:style>
  <w:style w:type="character" w:customStyle="1" w:styleId="14">
    <w:name w:val="页脚 Char"/>
    <w:basedOn w:val="12"/>
    <w:link w:val="7"/>
    <w:autoRedefine/>
    <w:qFormat/>
    <w:uiPriority w:val="99"/>
    <w:rPr>
      <w:sz w:val="18"/>
      <w:szCs w:val="18"/>
    </w:rPr>
  </w:style>
  <w:style w:type="paragraph" w:customStyle="1" w:styleId="15">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autoRedefine/>
    <w:qFormat/>
    <w:uiPriority w:val="0"/>
  </w:style>
  <w:style w:type="character" w:customStyle="1" w:styleId="17">
    <w:name w:val="Anrede1IhrZeichen"/>
    <w:basedOn w:val="12"/>
    <w:autoRedefine/>
    <w:qFormat/>
    <w:uiPriority w:val="0"/>
    <w:rPr>
      <w:rFonts w:ascii="Arial" w:hAnsi="Arial"/>
      <w:sz w:val="20"/>
    </w:rPr>
  </w:style>
  <w:style w:type="paragraph" w:customStyle="1" w:styleId="18">
    <w:name w:val="Table Paragraph"/>
    <w:basedOn w:val="1"/>
    <w:autoRedefine/>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2201</Words>
  <Characters>2256</Characters>
  <Lines>6</Lines>
  <Paragraphs>1</Paragraphs>
  <TotalTime>3</TotalTime>
  <ScaleCrop>false</ScaleCrop>
  <LinksUpToDate>false</LinksUpToDate>
  <CharactersWithSpaces>2416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2024-03-18T03:31:41Z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