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r>
        <w:rPr>
          <w:rFonts w:hint="eastAsia" w:asciiTheme="majorEastAsia" w:hAnsiTheme="majorEastAsia" w:eastAsiaTheme="majorEastAsia"/>
          <w:b/>
          <w:sz w:val="32"/>
          <w:szCs w:val="32"/>
        </w:rPr>
        <w:t>附件7：拟购</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u w:val="single"/>
          <w:lang w:eastAsia="zh-CN"/>
        </w:rPr>
        <w:t>六安市中医院办公用纸采购</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lang w:eastAsia="zh-CN"/>
        </w:rPr>
        <w:t>后勤保障部☑</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4"/>
          <w:rFonts w:hint="eastAsia" w:ascii="仿宋" w:hAnsi="仿宋" w:eastAsia="仿宋" w:cs="仿宋"/>
          <w:b w:val="0"/>
          <w:bCs/>
          <w:color w:val="auto"/>
          <w:sz w:val="21"/>
          <w:szCs w:val="21"/>
          <w:lang w:eastAsia="zh-CN"/>
        </w:rPr>
        <w:t>具备</w:t>
      </w:r>
      <w:r>
        <w:rPr>
          <w:rStyle w:val="14"/>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4"/>
          <w:rFonts w:hint="eastAsia" w:ascii="仿宋" w:hAnsi="仿宋" w:eastAsia="仿宋" w:cs="仿宋"/>
          <w:b/>
          <w:bCs w:val="0"/>
          <w:color w:val="auto"/>
          <w:sz w:val="21"/>
          <w:szCs w:val="21"/>
          <w:lang w:eastAsia="zh-CN"/>
        </w:rPr>
        <w:t>或具备</w:t>
      </w:r>
      <w:r>
        <w:rPr>
          <w:rStyle w:val="14"/>
          <w:rFonts w:hint="eastAsia" w:ascii="仿宋" w:hAnsi="仿宋" w:eastAsia="仿宋" w:cs="仿宋"/>
          <w:b/>
          <w:bCs w:val="0"/>
          <w:color w:val="auto"/>
          <w:sz w:val="21"/>
          <w:szCs w:val="21"/>
          <w:lang w:val="en-US" w:eastAsia="zh-CN"/>
        </w:rPr>
        <w:t>CMA【或CNAS】资质检测机构）</w:t>
      </w:r>
      <w:r>
        <w:rPr>
          <w:rStyle w:val="14"/>
          <w:rFonts w:hint="eastAsia" w:ascii="仿宋" w:hAnsi="仿宋" w:eastAsia="仿宋" w:cs="仿宋"/>
          <w:b w:val="0"/>
          <w:bCs/>
          <w:color w:val="auto"/>
          <w:sz w:val="21"/>
          <w:szCs w:val="21"/>
          <w:lang w:val="en-US" w:eastAsia="zh-CN"/>
        </w:rPr>
        <w:t>出具的</w:t>
      </w:r>
      <w:r>
        <w:rPr>
          <w:rStyle w:val="14"/>
          <w:rFonts w:hint="eastAsia" w:ascii="仿宋" w:hAnsi="仿宋" w:eastAsia="仿宋" w:cs="仿宋"/>
          <w:b w:val="0"/>
          <w:bCs/>
          <w:color w:val="auto"/>
          <w:sz w:val="21"/>
          <w:szCs w:val="21"/>
        </w:rPr>
        <w:t>质检报告原件扫描件</w:t>
      </w:r>
      <w:r>
        <w:rPr>
          <w:rStyle w:val="14"/>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4"/>
          <w:rFonts w:hint="eastAsia" w:ascii="仿宋" w:hAnsi="仿宋" w:eastAsia="仿宋" w:cs="仿宋"/>
          <w:b w:val="0"/>
          <w:bCs/>
          <w:color w:val="auto"/>
          <w:sz w:val="21"/>
          <w:szCs w:val="21"/>
        </w:rPr>
        <w:t>食药监局</w:t>
      </w:r>
      <w:r>
        <w:rPr>
          <w:rStyle w:val="14"/>
          <w:rFonts w:hint="eastAsia" w:ascii="仿宋" w:hAnsi="仿宋" w:eastAsia="仿宋" w:cs="仿宋"/>
          <w:b w:val="0"/>
          <w:bCs/>
          <w:color w:val="auto"/>
          <w:sz w:val="21"/>
          <w:szCs w:val="21"/>
          <w:lang w:eastAsia="zh-CN"/>
        </w:rPr>
        <w:t>或</w:t>
      </w:r>
      <w:r>
        <w:rPr>
          <w:rStyle w:val="14"/>
          <w:rFonts w:hint="eastAsia" w:ascii="仿宋" w:hAnsi="仿宋" w:eastAsia="仿宋" w:cs="仿宋"/>
          <w:b w:val="0"/>
          <w:bCs/>
          <w:color w:val="auto"/>
          <w:sz w:val="21"/>
          <w:szCs w:val="21"/>
        </w:rPr>
        <w:t>其下属单位</w:t>
      </w:r>
      <w:r>
        <w:rPr>
          <w:rStyle w:val="14"/>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77"/>
        <w:gridCol w:w="1110"/>
        <w:gridCol w:w="2183"/>
        <w:gridCol w:w="1125"/>
        <w:gridCol w:w="1230"/>
        <w:gridCol w:w="1732"/>
        <w:gridCol w:w="16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123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732"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688"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10"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183"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2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1230" w:type="dxa"/>
            <w:vMerge w:val="continue"/>
          </w:tcPr>
          <w:p>
            <w:pPr>
              <w:spacing w:line="320" w:lineRule="exact"/>
              <w:rPr>
                <w:rFonts w:ascii="仿宋" w:hAnsi="仿宋" w:eastAsia="仿宋"/>
                <w:b w:val="0"/>
                <w:bCs/>
                <w:szCs w:val="21"/>
              </w:rPr>
            </w:pPr>
          </w:p>
        </w:tc>
        <w:tc>
          <w:tcPr>
            <w:tcW w:w="1732" w:type="dxa"/>
            <w:vMerge w:val="continue"/>
          </w:tcPr>
          <w:p>
            <w:pPr>
              <w:spacing w:line="320" w:lineRule="exact"/>
              <w:rPr>
                <w:rFonts w:ascii="仿宋" w:hAnsi="仿宋" w:eastAsia="仿宋"/>
                <w:b w:val="0"/>
                <w:bCs/>
                <w:szCs w:val="21"/>
              </w:rPr>
            </w:pPr>
          </w:p>
        </w:tc>
        <w:tc>
          <w:tcPr>
            <w:tcW w:w="1688"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vMerge w:val="restart"/>
          </w:tcPr>
          <w:p>
            <w:pPr>
              <w:spacing w:line="320" w:lineRule="exact"/>
              <w:rPr>
                <w:rFonts w:ascii="仿宋" w:hAnsi="仿宋" w:eastAsia="仿宋"/>
                <w:b w:val="0"/>
                <w:bCs/>
                <w:szCs w:val="21"/>
              </w:rPr>
            </w:pPr>
          </w:p>
        </w:tc>
        <w:tc>
          <w:tcPr>
            <w:tcW w:w="1110" w:type="dxa"/>
            <w:vMerge w:val="restart"/>
          </w:tcPr>
          <w:p>
            <w:pPr>
              <w:spacing w:line="320" w:lineRule="exact"/>
              <w:rPr>
                <w:rFonts w:ascii="仿宋" w:hAnsi="仿宋" w:eastAsia="仿宋"/>
                <w:b w:val="0"/>
                <w:bCs/>
                <w:szCs w:val="21"/>
              </w:rPr>
            </w:pPr>
            <w:r>
              <w:rPr>
                <w:rFonts w:hint="eastAsia" w:ascii="仿宋" w:hAnsi="仿宋" w:eastAsia="仿宋"/>
                <w:b w:val="0"/>
                <w:bCs/>
                <w:szCs w:val="21"/>
                <w:lang w:val="en-US" w:eastAsia="zh-CN"/>
              </w:rPr>
              <w:t>资质及供货服务要求</w:t>
            </w:r>
          </w:p>
        </w:tc>
        <w:tc>
          <w:tcPr>
            <w:tcW w:w="2183" w:type="dxa"/>
          </w:tcPr>
          <w:p>
            <w:pPr>
              <w:spacing w:line="320" w:lineRule="exact"/>
              <w:rPr>
                <w:rFonts w:ascii="仿宋" w:hAnsi="仿宋" w:eastAsia="仿宋"/>
                <w:b w:val="0"/>
                <w:bCs/>
                <w:szCs w:val="21"/>
              </w:rPr>
            </w:pPr>
            <w:r>
              <w:rPr>
                <w:rFonts w:hint="eastAsia" w:ascii="仿宋" w:hAnsi="仿宋" w:eastAsia="仿宋"/>
                <w:b w:val="0"/>
                <w:bCs/>
                <w:szCs w:val="21"/>
                <w:lang w:val="en-US" w:eastAsia="zh-CN"/>
              </w:rPr>
              <w:t>1、供应商具有独立法人资格。持有国家工商行政管理部门核发的企业法人营业执照，经营范围涵盖办公用品。</w:t>
            </w: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vMerge w:val="continue"/>
          </w:tcPr>
          <w:p>
            <w:pPr>
              <w:spacing w:line="320" w:lineRule="exact"/>
              <w:rPr>
                <w:rFonts w:ascii="仿宋" w:hAnsi="仿宋" w:eastAsia="仿宋"/>
                <w:b w:val="0"/>
                <w:bCs/>
                <w:szCs w:val="21"/>
              </w:rPr>
            </w:pPr>
          </w:p>
        </w:tc>
        <w:tc>
          <w:tcPr>
            <w:tcW w:w="1110" w:type="dxa"/>
            <w:vMerge w:val="continue"/>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2、本项目按需供货并遵照成交单价据实结算，成交供应商在签订合同时须向采购人指定账号缴纳履约保证金（合同总价的2%）；</w:t>
            </w: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0" w:hRule="atLeast"/>
        </w:trPr>
        <w:tc>
          <w:tcPr>
            <w:tcW w:w="577" w:type="dxa"/>
            <w:vMerge w:val="continue"/>
          </w:tcPr>
          <w:p>
            <w:pPr>
              <w:spacing w:line="320" w:lineRule="exact"/>
              <w:rPr>
                <w:rFonts w:ascii="仿宋" w:hAnsi="仿宋" w:eastAsia="仿宋"/>
                <w:b w:val="0"/>
                <w:bCs/>
                <w:szCs w:val="21"/>
              </w:rPr>
            </w:pPr>
          </w:p>
        </w:tc>
        <w:tc>
          <w:tcPr>
            <w:tcW w:w="1110" w:type="dxa"/>
            <w:vMerge w:val="continue"/>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3、供应商在报价时须充分预测合作期内原材料上涨等因素予以综合合理报价，同时针对每项货物进行逐一报价且不得高于最高限价，合作期内不得涨价； </w:t>
            </w:r>
          </w:p>
          <w:p>
            <w:pPr>
              <w:spacing w:line="320" w:lineRule="exact"/>
              <w:rPr>
                <w:rFonts w:hint="eastAsia" w:ascii="仿宋" w:hAnsi="仿宋" w:eastAsia="仿宋"/>
                <w:b w:val="0"/>
                <w:bCs/>
                <w:szCs w:val="21"/>
                <w:lang w:val="en-US" w:eastAsia="zh-CN"/>
              </w:rPr>
            </w:pP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vMerge w:val="continue"/>
          </w:tcPr>
          <w:p>
            <w:pPr>
              <w:spacing w:line="320" w:lineRule="exact"/>
              <w:rPr>
                <w:rFonts w:ascii="仿宋" w:hAnsi="仿宋" w:eastAsia="仿宋"/>
                <w:b w:val="0"/>
                <w:bCs/>
                <w:szCs w:val="21"/>
              </w:rPr>
            </w:pPr>
          </w:p>
        </w:tc>
        <w:tc>
          <w:tcPr>
            <w:tcW w:w="1110" w:type="dxa"/>
            <w:vMerge w:val="continue"/>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4、成交供应商首次供货前须提供与项目参数相符的样品交采购人验收，验收合格后将样品交付采购人作为批量入库校验依据。</w:t>
            </w: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vMerge w:val="continue"/>
          </w:tcPr>
          <w:p>
            <w:pPr>
              <w:spacing w:line="320" w:lineRule="exact"/>
              <w:rPr>
                <w:rFonts w:ascii="仿宋" w:hAnsi="仿宋" w:eastAsia="仿宋"/>
                <w:b w:val="0"/>
                <w:bCs/>
                <w:szCs w:val="21"/>
              </w:rPr>
            </w:pPr>
          </w:p>
        </w:tc>
        <w:tc>
          <w:tcPr>
            <w:tcW w:w="1110" w:type="dxa"/>
            <w:vMerge w:val="continue"/>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5、每次货物入库前由采购人进行抽检，如有1次所送货物质量不满足合同要求，成交供应商必须在3个日历天内重新进行供货。如有2次所送货物质量不满足合同要求，成交供应商必须在3个日历天内重新进行供货，同时扣除50%履约保证金，3个日历天内补齐所扣履约保证金；如有3次所送货物质量不满足合同要求，采购人将扣除全部履约保证金，并有权解除合同。</w:t>
            </w:r>
          </w:p>
          <w:p>
            <w:pPr>
              <w:spacing w:line="320" w:lineRule="exact"/>
              <w:rPr>
                <w:rFonts w:hint="eastAsia" w:ascii="仿宋" w:hAnsi="仿宋" w:eastAsia="仿宋"/>
                <w:b w:val="0"/>
                <w:bCs/>
                <w:szCs w:val="21"/>
                <w:lang w:val="en-US" w:eastAsia="zh-CN"/>
              </w:rPr>
            </w:pP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vMerge w:val="continue"/>
          </w:tcPr>
          <w:p>
            <w:pPr>
              <w:spacing w:line="320" w:lineRule="exact"/>
              <w:rPr>
                <w:rFonts w:ascii="仿宋" w:hAnsi="仿宋" w:eastAsia="仿宋"/>
                <w:b w:val="0"/>
                <w:bCs/>
                <w:szCs w:val="21"/>
              </w:rPr>
            </w:pPr>
          </w:p>
        </w:tc>
        <w:tc>
          <w:tcPr>
            <w:tcW w:w="1110" w:type="dxa"/>
            <w:vMerge w:val="continue"/>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 6、提供同类型业绩合同原件扫描件至少 2 份（加盖公章）。</w:t>
            </w: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tcPr>
          <w:p>
            <w:pPr>
              <w:spacing w:line="320" w:lineRule="exact"/>
              <w:rPr>
                <w:rFonts w:ascii="仿宋" w:hAnsi="仿宋" w:eastAsia="仿宋"/>
                <w:b w:val="0"/>
                <w:bCs/>
                <w:szCs w:val="21"/>
              </w:rPr>
            </w:pPr>
          </w:p>
        </w:tc>
        <w:tc>
          <w:tcPr>
            <w:tcW w:w="1110" w:type="dxa"/>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7、合同一年一签，一年度内满足项目采购需求，可续签下一年合同，最多可续签两次。</w:t>
            </w:r>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77" w:type="dxa"/>
          </w:tcPr>
          <w:p>
            <w:pPr>
              <w:spacing w:line="320" w:lineRule="exact"/>
              <w:rPr>
                <w:rFonts w:ascii="仿宋" w:hAnsi="仿宋" w:eastAsia="仿宋"/>
                <w:b w:val="0"/>
                <w:bCs/>
                <w:szCs w:val="21"/>
              </w:rPr>
            </w:pPr>
          </w:p>
        </w:tc>
        <w:tc>
          <w:tcPr>
            <w:tcW w:w="1110" w:type="dxa"/>
          </w:tcPr>
          <w:p>
            <w:pPr>
              <w:spacing w:line="320" w:lineRule="exact"/>
              <w:rPr>
                <w:rFonts w:hint="eastAsia" w:ascii="仿宋" w:hAnsi="仿宋" w:eastAsia="仿宋"/>
                <w:b w:val="0"/>
                <w:bCs/>
                <w:szCs w:val="21"/>
                <w:lang w:val="en-US" w:eastAsia="zh-CN"/>
              </w:rPr>
            </w:pPr>
          </w:p>
        </w:tc>
        <w:tc>
          <w:tcPr>
            <w:tcW w:w="2183"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8、成交供应商须无条件配合采购人并自行支付第三方SPD管理系统（物资智能物流管理系统）的管理费用（与医院实际结算金额的1%，按月结算【所送货物经采购人进行审核后须在SPD管理系统办理入、出库】）。</w:t>
            </w:r>
            <w:bookmarkStart w:id="0" w:name="_GoBack"/>
            <w:bookmarkEnd w:id="0"/>
          </w:p>
        </w:tc>
        <w:tc>
          <w:tcPr>
            <w:tcW w:w="1125" w:type="dxa"/>
          </w:tcPr>
          <w:p>
            <w:pPr>
              <w:spacing w:line="320" w:lineRule="exact"/>
              <w:rPr>
                <w:rFonts w:ascii="仿宋" w:hAnsi="仿宋" w:eastAsia="仿宋"/>
                <w:b w:val="0"/>
                <w:bCs/>
                <w:szCs w:val="21"/>
              </w:rPr>
            </w:pPr>
          </w:p>
        </w:tc>
        <w:tc>
          <w:tcPr>
            <w:tcW w:w="1230" w:type="dxa"/>
          </w:tcPr>
          <w:p>
            <w:pPr>
              <w:spacing w:line="320" w:lineRule="exact"/>
              <w:rPr>
                <w:rFonts w:ascii="仿宋" w:hAnsi="仿宋" w:eastAsia="仿宋"/>
                <w:b w:val="0"/>
                <w:bCs/>
                <w:szCs w:val="21"/>
              </w:rPr>
            </w:pPr>
          </w:p>
        </w:tc>
        <w:tc>
          <w:tcPr>
            <w:tcW w:w="1732" w:type="dxa"/>
          </w:tcPr>
          <w:p>
            <w:pPr>
              <w:spacing w:line="320" w:lineRule="exact"/>
              <w:rPr>
                <w:rFonts w:ascii="仿宋" w:hAnsi="仿宋" w:eastAsia="仿宋"/>
                <w:b w:val="0"/>
                <w:bCs/>
                <w:szCs w:val="21"/>
              </w:rPr>
            </w:pPr>
          </w:p>
        </w:tc>
        <w:tc>
          <w:tcPr>
            <w:tcW w:w="1688"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9"/>
        <w:gridCol w:w="1003"/>
        <w:gridCol w:w="2055"/>
        <w:gridCol w:w="516"/>
        <w:gridCol w:w="1085"/>
        <w:gridCol w:w="734"/>
        <w:gridCol w:w="1843"/>
        <w:gridCol w:w="17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298" w:type="dxa"/>
            <w:gridSpan w:val="5"/>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34"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843"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7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574"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08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34" w:type="dxa"/>
            <w:vMerge w:val="continue"/>
          </w:tcPr>
          <w:p>
            <w:pPr>
              <w:spacing w:line="320" w:lineRule="exact"/>
              <w:rPr>
                <w:rFonts w:ascii="仿宋" w:hAnsi="仿宋" w:eastAsia="仿宋"/>
                <w:b w:val="0"/>
                <w:bCs/>
                <w:szCs w:val="21"/>
              </w:rPr>
            </w:pPr>
          </w:p>
        </w:tc>
        <w:tc>
          <w:tcPr>
            <w:tcW w:w="1843" w:type="dxa"/>
            <w:vMerge w:val="continue"/>
          </w:tcPr>
          <w:p>
            <w:pPr>
              <w:spacing w:line="320" w:lineRule="exact"/>
              <w:rPr>
                <w:rFonts w:ascii="仿宋" w:hAnsi="仿宋" w:eastAsia="仿宋"/>
                <w:b w:val="0"/>
                <w:bCs/>
                <w:szCs w:val="21"/>
              </w:rPr>
            </w:pPr>
          </w:p>
        </w:tc>
        <w:tc>
          <w:tcPr>
            <w:tcW w:w="174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rPr>
            </w:pPr>
          </w:p>
        </w:tc>
        <w:tc>
          <w:tcPr>
            <w:tcW w:w="1003"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名称</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规格</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单位</w:t>
            </w:r>
          </w:p>
        </w:tc>
        <w:tc>
          <w:tcPr>
            <w:tcW w:w="108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年使用量</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w:t>
            </w:r>
          </w:p>
        </w:tc>
        <w:tc>
          <w:tcPr>
            <w:tcW w:w="1003" w:type="dxa"/>
          </w:tcPr>
          <w:p>
            <w:pPr>
              <w:spacing w:line="320" w:lineRule="exact"/>
              <w:jc w:val="center"/>
              <w:rPr>
                <w:rFonts w:hint="default" w:ascii="仿宋" w:hAnsi="仿宋" w:eastAsia="仿宋"/>
                <w:b w:val="0"/>
                <w:bCs/>
                <w:szCs w:val="21"/>
                <w:lang w:val="en-US"/>
              </w:rPr>
            </w:pPr>
            <w:r>
              <w:rPr>
                <w:rFonts w:hint="eastAsia" w:ascii="仿宋" w:hAnsi="仿宋" w:eastAsia="仿宋"/>
                <w:b w:val="0"/>
                <w:bCs/>
                <w:szCs w:val="21"/>
                <w:lang w:val="en-US" w:eastAsia="zh-CN"/>
              </w:rPr>
              <w:t xml:space="preserve">A4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500张/包，单张厚度80克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包</w:t>
            </w:r>
          </w:p>
        </w:tc>
        <w:tc>
          <w:tcPr>
            <w:tcW w:w="108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en-US" w:eastAsia="zh-CN"/>
              </w:rPr>
              <w:t>12000</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A5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500张/包 单张厚度80克  </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包</w:t>
            </w:r>
          </w:p>
        </w:tc>
        <w:tc>
          <w:tcPr>
            <w:tcW w:w="108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400</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3</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A4</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彩色 500张/包 单张厚度80克  </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包</w:t>
            </w:r>
          </w:p>
        </w:tc>
        <w:tc>
          <w:tcPr>
            <w:tcW w:w="108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70</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4</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A5彩色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1000张/箱 单张厚度80克 </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40</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5</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241-4-2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1000页/箱 单张厚度  50克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36</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6</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241-2-1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1000页/箱 单张厚度  50克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40</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7</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财务凭证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24CM*11CM  500张/包  单张厚度80克  </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包</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30</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8</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241-3-2 彩色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 xml:space="preserve">1000页/箱 单张厚度50克 </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47</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9</w:t>
            </w:r>
          </w:p>
        </w:tc>
        <w:tc>
          <w:tcPr>
            <w:tcW w:w="1003"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 xml:space="preserve">241-3-1 </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1000页/箱 单张厚度50克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12</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1003"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241-2-1</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1000页/箱，单张厚度50克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7</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11</w:t>
            </w:r>
          </w:p>
        </w:tc>
        <w:tc>
          <w:tcPr>
            <w:tcW w:w="1003"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241-3-2</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1000页/箱</w:t>
            </w:r>
          </w:p>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单张厚度50克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11</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9"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12</w:t>
            </w:r>
          </w:p>
        </w:tc>
        <w:tc>
          <w:tcPr>
            <w:tcW w:w="1003"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241-4</w:t>
            </w:r>
          </w:p>
        </w:tc>
        <w:tc>
          <w:tcPr>
            <w:tcW w:w="205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1000页/箱，单张厚度50克</w:t>
            </w:r>
          </w:p>
        </w:tc>
        <w:tc>
          <w:tcPr>
            <w:tcW w:w="516"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箱</w:t>
            </w:r>
          </w:p>
        </w:tc>
        <w:tc>
          <w:tcPr>
            <w:tcW w:w="1085" w:type="dxa"/>
          </w:tcPr>
          <w:p>
            <w:pPr>
              <w:spacing w:line="320" w:lineRule="exact"/>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4</w:t>
            </w:r>
          </w:p>
        </w:tc>
        <w:tc>
          <w:tcPr>
            <w:tcW w:w="734" w:type="dxa"/>
          </w:tcPr>
          <w:p>
            <w:pPr>
              <w:spacing w:line="320" w:lineRule="exact"/>
              <w:rPr>
                <w:rFonts w:ascii="仿宋" w:hAnsi="仿宋" w:eastAsia="仿宋"/>
                <w:b w:val="0"/>
                <w:bCs/>
                <w:szCs w:val="21"/>
              </w:rPr>
            </w:pPr>
          </w:p>
        </w:tc>
        <w:tc>
          <w:tcPr>
            <w:tcW w:w="1843" w:type="dxa"/>
          </w:tcPr>
          <w:p>
            <w:pPr>
              <w:spacing w:line="320" w:lineRule="exact"/>
              <w:rPr>
                <w:rFonts w:ascii="仿宋" w:hAnsi="仿宋" w:eastAsia="仿宋"/>
                <w:b w:val="0"/>
                <w:bCs/>
                <w:szCs w:val="21"/>
              </w:rPr>
            </w:pPr>
          </w:p>
        </w:tc>
        <w:tc>
          <w:tcPr>
            <w:tcW w:w="1740"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3"/>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19589E"/>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9E48DB"/>
    <w:rsid w:val="22E90E34"/>
    <w:rsid w:val="22FB3ADB"/>
    <w:rsid w:val="23035A4C"/>
    <w:rsid w:val="231D1DD1"/>
    <w:rsid w:val="233B51A7"/>
    <w:rsid w:val="235130BE"/>
    <w:rsid w:val="23EA2E62"/>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5A306E"/>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CE358B4"/>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21E1B"/>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15074C"/>
    <w:rsid w:val="593908DE"/>
    <w:rsid w:val="599704D6"/>
    <w:rsid w:val="5B1220CD"/>
    <w:rsid w:val="5B2F1CB7"/>
    <w:rsid w:val="5BF92FB6"/>
    <w:rsid w:val="5C207A49"/>
    <w:rsid w:val="5C451348"/>
    <w:rsid w:val="5C6E4D42"/>
    <w:rsid w:val="5D40525F"/>
    <w:rsid w:val="5DC934C7"/>
    <w:rsid w:val="5DE61BB4"/>
    <w:rsid w:val="5DE921E3"/>
    <w:rsid w:val="5E025F34"/>
    <w:rsid w:val="5E5B76CA"/>
    <w:rsid w:val="5E6957E0"/>
    <w:rsid w:val="5E7A79CF"/>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1920C9"/>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135D18"/>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BE04D4"/>
    <w:rsid w:val="77F86EC8"/>
    <w:rsid w:val="781028F2"/>
    <w:rsid w:val="781E605F"/>
    <w:rsid w:val="788A1EBA"/>
    <w:rsid w:val="78C402EA"/>
    <w:rsid w:val="7924125A"/>
    <w:rsid w:val="79627EE8"/>
    <w:rsid w:val="797B7BE6"/>
    <w:rsid w:val="799E4500"/>
    <w:rsid w:val="79E93803"/>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ind w:firstLine="420" w:firstLineChars="100"/>
    </w:pPr>
    <w:rPr>
      <w:rFonts w:ascii="Times New Roman" w:hAnsi="Times New Roman"/>
      <w:kern w:val="0"/>
      <w:sz w:val="20"/>
      <w:szCs w:val="20"/>
    </w:rPr>
  </w:style>
  <w:style w:type="paragraph" w:styleId="3">
    <w:name w:val="Body Text"/>
    <w:basedOn w:val="1"/>
    <w:next w:val="4"/>
    <w:autoRedefine/>
    <w:qFormat/>
    <w:uiPriority w:val="0"/>
    <w:pPr>
      <w:spacing w:after="120"/>
    </w:pPr>
  </w:style>
  <w:style w:type="paragraph" w:customStyle="1" w:styleId="4">
    <w:name w:val="style4"/>
    <w:basedOn w:val="1"/>
    <w:next w:val="5"/>
    <w:autoRedefine/>
    <w:qFormat/>
    <w:uiPriority w:val="0"/>
    <w:pPr>
      <w:widowControl/>
      <w:spacing w:before="280" w:after="280"/>
    </w:pPr>
    <w:rPr>
      <w:rFonts w:ascii="宋体" w:hAnsi="Times New Roman" w:eastAsia="宋体" w:cs="Times New Roman"/>
      <w:sz w:val="18"/>
    </w:rPr>
  </w:style>
  <w:style w:type="paragraph" w:customStyle="1" w:styleId="5">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2"/>
    <w:autoRedefine/>
    <w:unhideWhenUsed/>
    <w:qFormat/>
    <w:uiPriority w:val="99"/>
    <w:pPr>
      <w:tabs>
        <w:tab w:val="center" w:pos="4153"/>
        <w:tab w:val="right" w:pos="8306"/>
      </w:tabs>
      <w:snapToGrid w:val="0"/>
      <w:jc w:val="left"/>
    </w:pPr>
    <w:rPr>
      <w:sz w:val="18"/>
      <w:szCs w:val="18"/>
    </w:rPr>
  </w:style>
  <w:style w:type="paragraph" w:styleId="7">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autoRedefine/>
    <w:semiHidden/>
    <w:qFormat/>
    <w:uiPriority w:val="99"/>
    <w:rPr>
      <w:sz w:val="18"/>
      <w:szCs w:val="18"/>
    </w:rPr>
  </w:style>
  <w:style w:type="character" w:customStyle="1" w:styleId="12">
    <w:name w:val="页脚 Char"/>
    <w:basedOn w:val="10"/>
    <w:link w:val="6"/>
    <w:autoRedefine/>
    <w:qFormat/>
    <w:uiPriority w:val="99"/>
    <w:rPr>
      <w:sz w:val="18"/>
      <w:szCs w:val="18"/>
    </w:rPr>
  </w:style>
  <w:style w:type="paragraph" w:customStyle="1" w:styleId="13">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4">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1136</Words>
  <Characters>1168</Characters>
  <Lines>6</Lines>
  <Paragraphs>1</Paragraphs>
  <TotalTime>138</TotalTime>
  <ScaleCrop>false</ScaleCrop>
  <LinksUpToDate>false</LinksUpToDate>
  <CharactersWithSpaces>1371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2024-03-27T06:30:48Z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