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w:t>
      </w:r>
      <w:r>
        <w:rPr>
          <w:rFonts w:hint="eastAsia" w:asciiTheme="majorEastAsia" w:hAnsiTheme="majorEastAsia" w:eastAsiaTheme="majorEastAsia"/>
          <w:b/>
          <w:sz w:val="32"/>
          <w:szCs w:val="32"/>
          <w:u w:val="single"/>
          <w:lang w:val="en-US" w:eastAsia="zh-CN"/>
        </w:rPr>
        <w:t>霍邱县第六人民医院(六安市中医院马店院区)电动汽车充电桩运营项目</w:t>
      </w:r>
      <w:r>
        <w:rPr>
          <w:rFonts w:hint="eastAsia" w:asciiTheme="majorEastAsia" w:hAnsiTheme="majorEastAsia" w:eastAsiaTheme="majorEastAsia"/>
          <w:b/>
          <w:sz w:val="32"/>
          <w:szCs w:val="32"/>
        </w:rPr>
        <w:t>初步参数论证征集意见表</w:t>
      </w:r>
      <w:r>
        <w:rPr>
          <w:rFonts w:hint="eastAsia" w:asciiTheme="majorEastAsia" w:hAnsiTheme="majorEastAsia" w:eastAsiaTheme="majorEastAsia"/>
          <w:b/>
          <w:sz w:val="32"/>
          <w:szCs w:val="32"/>
          <w:lang w:val="en-US" w:eastAsia="zh-CN"/>
        </w:rPr>
        <w:t xml:space="preserve">  </w:t>
      </w:r>
    </w:p>
    <w:p w14:paraId="60F3B240">
      <w:pPr>
        <w:spacing w:line="320" w:lineRule="exact"/>
        <w:rPr>
          <w:rFonts w:ascii="仿宋" w:hAnsi="仿宋" w:eastAsia="仿宋"/>
          <w:sz w:val="24"/>
          <w:szCs w:val="24"/>
        </w:rPr>
      </w:pPr>
    </w:p>
    <w:p w14:paraId="4B149B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 w:val="24"/>
          <w:szCs w:val="24"/>
          <w:u w:val="single"/>
        </w:rPr>
      </w:pPr>
      <w:r>
        <w:rPr>
          <w:rFonts w:hint="eastAsia" w:ascii="仿宋" w:hAnsi="仿宋" w:eastAsia="仿宋"/>
          <w:sz w:val="24"/>
          <w:szCs w:val="24"/>
        </w:rPr>
        <w:t>供应商、联系人及电话（加盖公章）：</w:t>
      </w:r>
      <w:r>
        <w:rPr>
          <w:rFonts w:hint="eastAsia" w:ascii="仿宋" w:hAnsi="仿宋" w:eastAsia="仿宋"/>
          <w:sz w:val="24"/>
          <w:szCs w:val="24"/>
          <w:u w:val="single"/>
        </w:rPr>
        <w:t xml:space="preserve">                                      </w:t>
      </w: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sz w:val="24"/>
          <w:szCs w:val="24"/>
          <w:u w:val="single"/>
          <w:lang w:val="en-US" w:eastAsia="zh-CN"/>
        </w:rPr>
        <w:t>分成比例：</w:t>
      </w:r>
      <w:r>
        <w:rPr>
          <w:rFonts w:hint="eastAsia" w:ascii="仿宋" w:hAnsi="仿宋" w:eastAsia="仿宋"/>
          <w:sz w:val="24"/>
          <w:szCs w:val="24"/>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b w:val="0"/>
          <w:bCs/>
          <w:color w:val="FF0000"/>
          <w:sz w:val="24"/>
          <w:szCs w:val="24"/>
        </w:rPr>
      </w:pPr>
      <w:r>
        <w:rPr>
          <w:rFonts w:hint="eastAsia" w:ascii="仿宋" w:hAnsi="仿宋" w:eastAsia="仿宋"/>
          <w:b/>
          <w:sz w:val="24"/>
          <w:szCs w:val="24"/>
        </w:rPr>
        <w:t>备注：</w:t>
      </w:r>
    </w:p>
    <w:p w14:paraId="6BC04E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b w:val="0"/>
          <w:bCs/>
          <w:color w:val="FF0000"/>
          <w:sz w:val="24"/>
          <w:szCs w:val="24"/>
        </w:rPr>
        <w:t>按要求格式填写并</w:t>
      </w:r>
      <w:r>
        <w:rPr>
          <w:rFonts w:hint="eastAsia" w:ascii="仿宋" w:hAnsi="仿宋" w:eastAsia="仿宋"/>
          <w:b/>
          <w:bCs w:val="0"/>
          <w:color w:val="FF0000"/>
          <w:sz w:val="24"/>
          <w:szCs w:val="24"/>
        </w:rPr>
        <w:t>每页加盖</w:t>
      </w:r>
      <w:r>
        <w:rPr>
          <w:rFonts w:hint="eastAsia" w:ascii="仿宋" w:hAnsi="仿宋" w:eastAsia="仿宋"/>
          <w:b w:val="0"/>
          <w:bCs/>
          <w:color w:val="FF0000"/>
          <w:sz w:val="24"/>
          <w:szCs w:val="24"/>
        </w:rPr>
        <w:t>报名供应商公章【电子章无效】，</w:t>
      </w:r>
      <w:r>
        <w:rPr>
          <w:rFonts w:hint="eastAsia" w:ascii="仿宋" w:hAnsi="仿宋" w:eastAsia="仿宋"/>
          <w:sz w:val="24"/>
          <w:szCs w:val="24"/>
        </w:rPr>
        <w:t>在规定时间内以</w:t>
      </w:r>
      <w:r>
        <w:rPr>
          <w:rFonts w:hint="eastAsia" w:ascii="仿宋" w:hAnsi="仿宋" w:eastAsia="仿宋"/>
          <w:b/>
          <w:sz w:val="24"/>
          <w:szCs w:val="24"/>
        </w:rPr>
        <w:t>原件扫描件和电子版形式</w:t>
      </w:r>
      <w:r>
        <w:rPr>
          <w:rFonts w:hint="eastAsia" w:ascii="仿宋" w:hAnsi="仿宋" w:eastAsia="仿宋"/>
          <w:sz w:val="24"/>
          <w:szCs w:val="24"/>
        </w:rPr>
        <w:t>发送至医院指定邮箱（</w:t>
      </w:r>
      <w:r>
        <w:rPr>
          <w:rFonts w:hint="eastAsia" w:ascii="仿宋" w:hAnsi="仿宋" w:eastAsia="仿宋"/>
          <w:sz w:val="24"/>
          <w:szCs w:val="24"/>
          <w:u w:val="single"/>
          <w:lang w:eastAsia="zh-CN"/>
        </w:rPr>
        <w:t>物流管理部</w:t>
      </w:r>
      <w:r>
        <w:rPr>
          <w:rFonts w:hint="eastAsia" w:ascii="仿宋" w:hAnsi="仿宋" w:eastAsia="仿宋"/>
          <w:sz w:val="24"/>
          <w:szCs w:val="24"/>
        </w:rPr>
        <w:t>：2523245199@qq.com</w:t>
      </w:r>
      <w:r>
        <w:rPr>
          <w:rFonts w:hint="eastAsia" w:ascii="仿宋" w:hAnsi="仿宋" w:eastAsia="仿宋"/>
          <w:sz w:val="24"/>
          <w:szCs w:val="24"/>
          <w:u w:val="single"/>
        </w:rPr>
        <w:t>和</w:t>
      </w:r>
      <w:r>
        <w:rPr>
          <w:rFonts w:hint="eastAsia" w:ascii="仿宋" w:hAnsi="仿宋" w:eastAsia="仿宋"/>
          <w:sz w:val="24"/>
          <w:szCs w:val="24"/>
        </w:rPr>
        <w:t>【设备科□、信息科□、</w:t>
      </w:r>
      <w:r>
        <w:rPr>
          <w:rFonts w:hint="eastAsia" w:ascii="仿宋" w:hAnsi="仿宋" w:eastAsia="仿宋"/>
          <w:sz w:val="24"/>
          <w:szCs w:val="24"/>
          <w:lang w:eastAsia="zh-CN"/>
        </w:rPr>
        <w:t>后勤保障部☑</w:t>
      </w:r>
      <w:r>
        <w:rPr>
          <w:rFonts w:hint="eastAsia" w:ascii="仿宋" w:hAnsi="仿宋" w:eastAsia="仿宋"/>
          <w:sz w:val="24"/>
          <w:szCs w:val="24"/>
        </w:rPr>
        <w:t>及其他□</w:t>
      </w:r>
      <w:r>
        <w:rPr>
          <w:rFonts w:hint="eastAsia" w:ascii="仿宋" w:hAnsi="仿宋" w:eastAsia="仿宋"/>
          <w:sz w:val="24"/>
          <w:szCs w:val="24"/>
          <w:u w:val="single"/>
        </w:rPr>
        <w:t xml:space="preserve">    </w:t>
      </w:r>
      <w:r>
        <w:rPr>
          <w:rFonts w:hint="eastAsia" w:ascii="仿宋" w:hAnsi="仿宋" w:eastAsia="仿宋"/>
          <w:b/>
          <w:bCs/>
          <w:color w:val="FF0000"/>
          <w:sz w:val="32"/>
          <w:szCs w:val="32"/>
          <w:u w:val="single"/>
        </w:rPr>
        <w:t xml:space="preserve">zyyzwk2020@126.com </w:t>
      </w:r>
      <w:r>
        <w:rPr>
          <w:rFonts w:hint="eastAsia" w:ascii="仿宋" w:hAnsi="仿宋" w:eastAsia="仿宋"/>
          <w:sz w:val="24"/>
          <w:szCs w:val="24"/>
          <w:u w:val="single"/>
        </w:rPr>
        <w:t xml:space="preserve">     </w:t>
      </w:r>
    </w:p>
    <w:p w14:paraId="65D7E4A6">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0" w:firstLineChars="200"/>
        <w:textAlignment w:val="auto"/>
        <w:rPr>
          <w:rFonts w:hint="default" w:ascii="仿宋" w:hAnsi="仿宋" w:eastAsia="仿宋"/>
          <w:b/>
          <w:bCs/>
          <w:sz w:val="28"/>
          <w:szCs w:val="28"/>
          <w:lang w:val="en-US" w:eastAsia="zh-CN"/>
        </w:rPr>
      </w:pP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b/>
          <w:bCs/>
          <w:sz w:val="28"/>
          <w:szCs w:val="28"/>
          <w:lang w:val="en-US" w:eastAsia="zh-CN"/>
        </w:rPr>
        <w:t>表中标注的须供应商填写的类似项目业绩情况，请填写。）</w:t>
      </w:r>
    </w:p>
    <w:p w14:paraId="0C7B51EB">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请供应商认真通读以下项目概况和参数结构表的内容，然后填报响应情况。</w:t>
      </w:r>
    </w:p>
    <w:p w14:paraId="4DAAC7A7">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如有其他合理建议，填写建议修改指标（内容）。</w:t>
      </w:r>
    </w:p>
    <w:p w14:paraId="36F2EB87">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项目概况</w:t>
      </w:r>
    </w:p>
    <w:p w14:paraId="5E887070">
      <w:pPr>
        <w:widowControl w:val="0"/>
        <w:numPr>
          <w:ilvl w:val="0"/>
          <w:numId w:val="0"/>
        </w:numPr>
        <w:spacing w:line="360" w:lineRule="auto"/>
        <w:ind w:firstLine="480" w:firstLineChars="200"/>
        <w:jc w:val="both"/>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霍邱县第六人民医院</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六安市中医院马店分院</w:t>
      </w:r>
      <w:r>
        <w:rPr>
          <w:rFonts w:hint="eastAsia" w:ascii="仿宋" w:hAnsi="仿宋" w:eastAsia="仿宋" w:cs="仿宋"/>
          <w:sz w:val="24"/>
          <w:szCs w:val="24"/>
          <w:lang w:val="en-US" w:eastAsia="zh-CN"/>
        </w:rPr>
        <w:t>）位于霍邱</w:t>
      </w:r>
      <w:r>
        <w:rPr>
          <w:rFonts w:hint="default" w:ascii="仿宋" w:hAnsi="仿宋" w:eastAsia="仿宋" w:cs="仿宋"/>
          <w:sz w:val="24"/>
          <w:szCs w:val="24"/>
          <w:lang w:val="en-US" w:eastAsia="zh-CN"/>
        </w:rPr>
        <w:t>县</w:t>
      </w:r>
      <w:r>
        <w:rPr>
          <w:rFonts w:hint="eastAsia" w:ascii="仿宋" w:hAnsi="仿宋" w:eastAsia="仿宋" w:cs="仿宋"/>
          <w:sz w:val="24"/>
          <w:szCs w:val="24"/>
          <w:lang w:val="en-US" w:eastAsia="zh-CN"/>
        </w:rPr>
        <w:t>马店镇，包含门诊医技综合楼、宿舍楼及附属建筑，</w:t>
      </w:r>
      <w:r>
        <w:rPr>
          <w:rFonts w:hint="default" w:ascii="仿宋" w:hAnsi="仿宋" w:eastAsia="仿宋" w:cs="仿宋"/>
          <w:sz w:val="24"/>
          <w:szCs w:val="24"/>
          <w:lang w:val="en-US" w:eastAsia="zh-CN"/>
        </w:rPr>
        <w:t>建筑面积</w:t>
      </w:r>
      <w:r>
        <w:rPr>
          <w:rFonts w:hint="eastAsia" w:ascii="仿宋" w:hAnsi="仿宋" w:eastAsia="仿宋" w:cs="仿宋"/>
          <w:sz w:val="24"/>
          <w:szCs w:val="24"/>
          <w:lang w:val="en-US" w:eastAsia="zh-CN"/>
        </w:rPr>
        <w:t>共约6</w:t>
      </w:r>
      <w:r>
        <w:rPr>
          <w:rFonts w:hint="default" w:ascii="仿宋" w:hAnsi="仿宋" w:eastAsia="仿宋" w:cs="仿宋"/>
          <w:sz w:val="24"/>
          <w:szCs w:val="24"/>
          <w:lang w:val="en-US" w:eastAsia="zh-CN"/>
        </w:rPr>
        <w:t>万平方米</w:t>
      </w:r>
      <w:r>
        <w:rPr>
          <w:rFonts w:hint="eastAsia" w:ascii="仿宋" w:hAnsi="仿宋" w:eastAsia="仿宋" w:cs="仿宋"/>
          <w:sz w:val="24"/>
          <w:szCs w:val="24"/>
          <w:lang w:val="en-US" w:eastAsia="zh-CN"/>
        </w:rPr>
        <w:t>，于2021年6月启用。</w:t>
      </w:r>
    </w:p>
    <w:p w14:paraId="26D33A02">
      <w:pPr>
        <w:widowControl w:val="0"/>
        <w:numPr>
          <w:ilvl w:val="0"/>
          <w:numId w:val="0"/>
        </w:numPr>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依据采购人完善便民、职工服务措施的需要，拟对新能源汽车充电桩安装、维护、保养、管理运行进行公开招标，在采购人院区至少配置2台不低于120kW双枪直流快充充电桩（共至少4把充电枪），至少配置5台不低于7kW单枪交流慢充充电桩（共至少5把充电枪），共至少满足9个充电车位充电需求。</w:t>
      </w:r>
    </w:p>
    <w:p w14:paraId="5AE28A6F">
      <w:pPr>
        <w:widowControl w:val="0"/>
        <w:numPr>
          <w:ilvl w:val="0"/>
          <w:numId w:val="0"/>
        </w:numPr>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由供应商投资建设及运营管理，采购人仅负责停车场区域配合提供场地和提供充电桩电缆从院方配电房配电柜的接驳点。充电桩投入运营后，对充电业务产生的年总营业额去除年总电费后的年总营业利润，采购人享有不低于10%比例的分成，供应商享有不高于90%比例的分成。充电桩所有权及归供应商所有。</w:t>
      </w:r>
    </w:p>
    <w:p w14:paraId="5F3B90AC">
      <w:pPr>
        <w:widowControl w:val="0"/>
        <w:numPr>
          <w:ilvl w:val="0"/>
          <w:numId w:val="0"/>
        </w:numPr>
        <w:spacing w:line="360" w:lineRule="auto"/>
        <w:ind w:firstLine="480" w:firstLineChars="200"/>
        <w:jc w:val="both"/>
        <w:rPr>
          <w:rFonts w:hint="eastAsia" w:ascii="仿宋" w:hAnsi="仿宋" w:eastAsia="仿宋" w:cs="仿宋"/>
          <w:sz w:val="24"/>
          <w:szCs w:val="24"/>
        </w:rPr>
      </w:pPr>
    </w:p>
    <w:p w14:paraId="603A0DB0">
      <w:pPr>
        <w:spacing w:line="320" w:lineRule="exact"/>
        <w:rPr>
          <w:rFonts w:ascii="仿宋" w:hAnsi="仿宋" w:eastAsia="仿宋"/>
          <w:b/>
          <w:sz w:val="24"/>
          <w:szCs w:val="24"/>
        </w:rPr>
      </w:pPr>
      <w:r>
        <w:rPr>
          <w:rFonts w:hint="eastAsia" w:ascii="仿宋" w:hAnsi="仿宋" w:eastAsia="仿宋"/>
          <w:b/>
          <w:sz w:val="24"/>
          <w:szCs w:val="24"/>
          <w:lang w:eastAsia="zh-CN"/>
        </w:rPr>
        <w:t>第一部分：</w:t>
      </w:r>
      <w:r>
        <w:rPr>
          <w:rFonts w:hint="eastAsia" w:ascii="仿宋" w:hAnsi="仿宋" w:eastAsia="仿宋"/>
          <w:b/>
          <w:sz w:val="24"/>
          <w:szCs w:val="24"/>
        </w:rPr>
        <w:t>拟购项目初步参数结构</w:t>
      </w:r>
    </w:p>
    <w:tbl>
      <w:tblPr>
        <w:tblStyle w:val="16"/>
        <w:tblW w:w="94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3"/>
        <w:gridCol w:w="1198"/>
        <w:gridCol w:w="3395"/>
        <w:gridCol w:w="835"/>
        <w:gridCol w:w="1275"/>
        <w:gridCol w:w="660"/>
        <w:gridCol w:w="1422"/>
      </w:tblGrid>
      <w:tr w14:paraId="36201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061" w:type="dxa"/>
            <w:gridSpan w:val="4"/>
          </w:tcPr>
          <w:p w14:paraId="23C8C8A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275" w:type="dxa"/>
            <w:vMerge w:val="restart"/>
          </w:tcPr>
          <w:p w14:paraId="05EAE16D">
            <w:pPr>
              <w:spacing w:line="320" w:lineRule="exact"/>
              <w:jc w:val="both"/>
              <w:rPr>
                <w:rFonts w:hint="eastAsia" w:ascii="仿宋" w:hAnsi="仿宋" w:eastAsia="仿宋"/>
                <w:b/>
                <w:bCs w:val="0"/>
                <w:color w:val="FF0000"/>
                <w:szCs w:val="21"/>
              </w:rPr>
            </w:pPr>
          </w:p>
          <w:p w14:paraId="6E6410FA">
            <w:pPr>
              <w:spacing w:line="320" w:lineRule="exact"/>
              <w:jc w:val="both"/>
              <w:rPr>
                <w:rFonts w:ascii="仿宋" w:hAnsi="仿宋"/>
                <w:b/>
                <w:bCs w:val="0"/>
                <w:color w:val="FF0000"/>
                <w:szCs w:val="21"/>
              </w:rPr>
            </w:pPr>
            <w:r>
              <w:rPr>
                <w:rFonts w:hint="eastAsia" w:ascii="仿宋" w:hAnsi="仿宋" w:eastAsia="仿宋"/>
                <w:b/>
                <w:bCs w:val="0"/>
                <w:color w:val="FF0000"/>
                <w:szCs w:val="21"/>
              </w:rPr>
              <w:t>响应情况</w:t>
            </w:r>
          </w:p>
        </w:tc>
        <w:tc>
          <w:tcPr>
            <w:tcW w:w="660" w:type="dxa"/>
            <w:vMerge w:val="restart"/>
          </w:tcPr>
          <w:p w14:paraId="231B9B49">
            <w:pPr>
              <w:spacing w:line="320" w:lineRule="exact"/>
              <w:jc w:val="both"/>
              <w:rPr>
                <w:rFonts w:hint="eastAsia" w:ascii="仿宋" w:hAnsi="仿宋" w:eastAsia="仿宋"/>
                <w:b/>
                <w:bCs w:val="0"/>
                <w:color w:val="FF0000"/>
                <w:szCs w:val="21"/>
              </w:rPr>
            </w:pPr>
          </w:p>
          <w:p w14:paraId="7527F0D6">
            <w:pPr>
              <w:spacing w:line="320" w:lineRule="exact"/>
              <w:jc w:val="both"/>
              <w:rPr>
                <w:rFonts w:hint="eastAsia" w:ascii="仿宋" w:hAnsi="仿宋" w:eastAsia="仿宋"/>
                <w:b/>
                <w:bCs w:val="0"/>
                <w:color w:val="FF0000"/>
                <w:szCs w:val="21"/>
                <w:lang w:eastAsia="zh-CN"/>
              </w:rPr>
            </w:pPr>
            <w:r>
              <w:rPr>
                <w:rFonts w:hint="eastAsia" w:ascii="仿宋" w:hAnsi="仿宋" w:eastAsia="仿宋"/>
                <w:b/>
                <w:bCs w:val="0"/>
                <w:color w:val="FF0000"/>
                <w:szCs w:val="21"/>
              </w:rPr>
              <w:t>建议修改</w:t>
            </w:r>
            <w:r>
              <w:rPr>
                <w:rFonts w:hint="eastAsia" w:ascii="仿宋" w:hAnsi="仿宋" w:eastAsia="仿宋"/>
                <w:b/>
                <w:bCs w:val="0"/>
                <w:color w:val="FF0000"/>
                <w:szCs w:val="21"/>
                <w:lang w:eastAsia="zh-CN"/>
              </w:rPr>
              <w:t>指标</w:t>
            </w:r>
          </w:p>
        </w:tc>
        <w:tc>
          <w:tcPr>
            <w:tcW w:w="1422" w:type="dxa"/>
            <w:vMerge w:val="restart"/>
          </w:tcPr>
          <w:p w14:paraId="47496D7D">
            <w:pPr>
              <w:spacing w:line="320" w:lineRule="exact"/>
              <w:jc w:val="center"/>
              <w:rPr>
                <w:rFonts w:ascii="仿宋" w:hAnsi="仿宋" w:eastAsia="仿宋"/>
                <w:b/>
                <w:bCs w:val="0"/>
                <w:color w:val="FF0000"/>
                <w:szCs w:val="21"/>
              </w:rPr>
            </w:pPr>
            <w:r>
              <w:rPr>
                <w:rFonts w:hint="eastAsia" w:ascii="仿宋" w:hAnsi="仿宋" w:eastAsia="仿宋"/>
                <w:b/>
                <w:bCs w:val="0"/>
                <w:color w:val="FF0000"/>
                <w:szCs w:val="21"/>
              </w:rPr>
              <w:t>备注（真实指标、是否独家</w:t>
            </w:r>
            <w:r>
              <w:rPr>
                <w:rFonts w:hint="eastAsia" w:ascii="仿宋" w:hAnsi="仿宋" w:eastAsia="仿宋"/>
                <w:b/>
                <w:bCs w:val="0"/>
                <w:color w:val="FF0000"/>
                <w:szCs w:val="21"/>
                <w:lang w:eastAsia="zh-CN"/>
              </w:rPr>
              <w:t>、是否提供有效检测报告</w:t>
            </w:r>
            <w:r>
              <w:rPr>
                <w:rFonts w:hint="eastAsia" w:ascii="仿宋" w:hAnsi="仿宋" w:eastAsia="仿宋"/>
                <w:b/>
                <w:bCs w:val="0"/>
                <w:color w:val="FF0000"/>
                <w:szCs w:val="21"/>
              </w:rPr>
              <w:t>）</w:t>
            </w:r>
          </w:p>
        </w:tc>
      </w:tr>
      <w:tr w14:paraId="75ED6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33A27C08">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98" w:type="dxa"/>
          </w:tcPr>
          <w:p w14:paraId="7EBC666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95" w:type="dxa"/>
          </w:tcPr>
          <w:p w14:paraId="7DFC163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35" w:type="dxa"/>
          </w:tcPr>
          <w:p w14:paraId="02CED95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1275" w:type="dxa"/>
            <w:vMerge w:val="continue"/>
          </w:tcPr>
          <w:p w14:paraId="799DA52C">
            <w:pPr>
              <w:spacing w:line="320" w:lineRule="exact"/>
              <w:rPr>
                <w:rFonts w:ascii="仿宋" w:hAnsi="仿宋" w:eastAsia="仿宋"/>
                <w:b w:val="0"/>
                <w:bCs/>
                <w:szCs w:val="21"/>
              </w:rPr>
            </w:pPr>
          </w:p>
        </w:tc>
        <w:tc>
          <w:tcPr>
            <w:tcW w:w="660" w:type="dxa"/>
            <w:vMerge w:val="continue"/>
          </w:tcPr>
          <w:p w14:paraId="79A849D0">
            <w:pPr>
              <w:spacing w:line="320" w:lineRule="exact"/>
              <w:rPr>
                <w:rFonts w:ascii="仿宋" w:hAnsi="仿宋" w:eastAsia="仿宋"/>
                <w:b w:val="0"/>
                <w:bCs/>
                <w:szCs w:val="21"/>
              </w:rPr>
            </w:pPr>
          </w:p>
        </w:tc>
        <w:tc>
          <w:tcPr>
            <w:tcW w:w="1422" w:type="dxa"/>
            <w:vMerge w:val="continue"/>
          </w:tcPr>
          <w:p w14:paraId="4CC32EBF">
            <w:pPr>
              <w:spacing w:line="320" w:lineRule="exact"/>
              <w:rPr>
                <w:rFonts w:ascii="仿宋" w:hAnsi="仿宋" w:eastAsia="仿宋"/>
                <w:b w:val="0"/>
                <w:bCs/>
                <w:szCs w:val="21"/>
              </w:rPr>
            </w:pPr>
          </w:p>
        </w:tc>
      </w:tr>
      <w:tr w14:paraId="63721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4051CBEF">
            <w:pPr>
              <w:spacing w:line="320" w:lineRule="exact"/>
              <w:rPr>
                <w:rFonts w:hint="eastAsia" w:ascii="仿宋" w:hAnsi="仿宋" w:eastAsia="仿宋"/>
                <w:b w:val="0"/>
                <w:bCs/>
                <w:szCs w:val="21"/>
                <w:lang w:val="en-US" w:eastAsia="zh-CN"/>
              </w:rPr>
            </w:pPr>
          </w:p>
          <w:p w14:paraId="40BEC55C">
            <w:pPr>
              <w:spacing w:line="320" w:lineRule="exact"/>
              <w:rPr>
                <w:rFonts w:hint="eastAsia" w:ascii="仿宋" w:hAnsi="仿宋" w:eastAsia="仿宋"/>
                <w:b w:val="0"/>
                <w:bCs/>
                <w:szCs w:val="21"/>
                <w:lang w:val="en-US" w:eastAsia="zh-CN"/>
              </w:rPr>
            </w:pPr>
          </w:p>
          <w:p w14:paraId="1A76721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1198" w:type="dxa"/>
          </w:tcPr>
          <w:p w14:paraId="051B1B16">
            <w:pPr>
              <w:spacing w:line="320" w:lineRule="exact"/>
              <w:rPr>
                <w:rFonts w:hint="eastAsia"/>
                <w:b/>
                <w:bCs/>
                <w:sz w:val="32"/>
                <w:szCs w:val="32"/>
                <w:highlight w:val="yellow"/>
                <w:lang w:val="en-US" w:eastAsia="zh-CN"/>
              </w:rPr>
            </w:pPr>
          </w:p>
          <w:p w14:paraId="372E379E">
            <w:pPr>
              <w:spacing w:line="320" w:lineRule="exact"/>
              <w:rPr>
                <w:rFonts w:hint="eastAsia" w:ascii="仿宋" w:hAnsi="仿宋" w:eastAsia="仿宋" w:cs="仿宋"/>
                <w:b/>
                <w:bCs/>
                <w:color w:val="auto"/>
                <w:sz w:val="24"/>
                <w:szCs w:val="24"/>
                <w:highlight w:val="none"/>
                <w:lang w:val="en-US" w:eastAsia="zh-CN"/>
              </w:rPr>
            </w:pPr>
          </w:p>
          <w:p w14:paraId="04430E58">
            <w:pPr>
              <w:spacing w:line="320" w:lineRule="exact"/>
              <w:rPr>
                <w:rFonts w:hint="eastAsia" w:ascii="仿宋" w:hAnsi="仿宋" w:eastAsia="仿宋" w:cs="仿宋"/>
                <w:b/>
                <w:bCs/>
                <w:color w:val="auto"/>
                <w:sz w:val="24"/>
                <w:szCs w:val="24"/>
                <w:highlight w:val="none"/>
                <w:lang w:val="en-US" w:eastAsia="zh-CN"/>
              </w:rPr>
            </w:pPr>
          </w:p>
          <w:p w14:paraId="1716AF26">
            <w:pPr>
              <w:spacing w:line="320" w:lineRule="exact"/>
              <w:rPr>
                <w:rFonts w:hint="eastAsia" w:ascii="仿宋" w:hAnsi="仿宋" w:eastAsia="仿宋"/>
                <w:b w:val="0"/>
                <w:bCs/>
                <w:szCs w:val="21"/>
                <w:lang w:val="en-US" w:eastAsia="zh-CN"/>
              </w:rPr>
            </w:pPr>
            <w:r>
              <w:rPr>
                <w:rFonts w:hint="eastAsia" w:ascii="仿宋" w:hAnsi="仿宋" w:eastAsia="仿宋" w:cs="仿宋"/>
                <w:b/>
                <w:bCs/>
                <w:color w:val="auto"/>
                <w:sz w:val="24"/>
                <w:szCs w:val="24"/>
                <w:highlight w:val="none"/>
                <w:lang w:val="en-US" w:eastAsia="zh-CN"/>
              </w:rPr>
              <w:t>一、资格条件</w:t>
            </w:r>
          </w:p>
        </w:tc>
        <w:tc>
          <w:tcPr>
            <w:tcW w:w="3395" w:type="dxa"/>
          </w:tcPr>
          <w:p w14:paraId="5CE00FBD">
            <w:pPr>
              <w:spacing w:line="32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w:t>
            </w:r>
            <w:bookmarkStart w:id="0" w:name="_Toc3300"/>
            <w:bookmarkStart w:id="1" w:name="_Toc3939"/>
            <w:bookmarkStart w:id="2" w:name="_Toc19241"/>
            <w:bookmarkStart w:id="3" w:name="_Toc15583"/>
            <w:r>
              <w:rPr>
                <w:rFonts w:hint="eastAsia" w:ascii="仿宋" w:hAnsi="仿宋" w:eastAsia="仿宋" w:cs="仿宋"/>
                <w:b w:val="0"/>
                <w:bCs w:val="0"/>
                <w:sz w:val="21"/>
                <w:szCs w:val="21"/>
                <w:lang w:val="en-US" w:eastAsia="zh-CN"/>
              </w:rPr>
              <w:t>具有有效期内营业执照</w:t>
            </w:r>
            <w:bookmarkEnd w:id="0"/>
            <w:bookmarkEnd w:id="1"/>
            <w:bookmarkEnd w:id="2"/>
            <w:r>
              <w:rPr>
                <w:rFonts w:hint="eastAsia" w:ascii="仿宋" w:hAnsi="仿宋" w:eastAsia="仿宋" w:cs="仿宋"/>
                <w:b w:val="0"/>
                <w:bCs w:val="0"/>
                <w:sz w:val="21"/>
                <w:szCs w:val="21"/>
                <w:lang w:val="en-US" w:eastAsia="zh-CN"/>
              </w:rPr>
              <w:t>,营业范围包含充电设施安装或电力工程施工等。（提供营业执照复印件加盖公章）</w:t>
            </w:r>
            <w:bookmarkEnd w:id="3"/>
            <w:r>
              <w:rPr>
                <w:rFonts w:hint="eastAsia" w:ascii="仿宋" w:hAnsi="仿宋" w:eastAsia="仿宋" w:cs="仿宋"/>
                <w:b w:val="0"/>
                <w:bCs w:val="0"/>
                <w:sz w:val="21"/>
                <w:szCs w:val="21"/>
                <w:lang w:val="en-US" w:eastAsia="zh-CN"/>
              </w:rPr>
              <w:t>‌</w:t>
            </w:r>
          </w:p>
          <w:p w14:paraId="559F718F">
            <w:pPr>
              <w:pStyle w:val="13"/>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2.满足《中华人民</w:t>
            </w:r>
            <w:r>
              <w:rPr>
                <w:rFonts w:hint="eastAsia" w:ascii="仿宋" w:hAnsi="仿宋" w:eastAsia="仿宋" w:cs="仿宋"/>
                <w:b w:val="0"/>
                <w:bCs w:val="0"/>
                <w:kern w:val="2"/>
                <w:sz w:val="21"/>
                <w:szCs w:val="21"/>
                <w:lang w:val="en-US" w:eastAsia="zh-CN" w:bidi="ar-SA"/>
              </w:rPr>
              <w:t>共和国政府采购法》第二十二条规定</w:t>
            </w:r>
          </w:p>
          <w:p w14:paraId="3D321912">
            <w:pPr>
              <w:pStyle w:val="13"/>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3.供应商拟安排在本项目的施工、运营人员需持有应急管理部颁发的低压/高压电工作业证，且证书范围需与作业内容完全匹配。（提证书复印件加盖公章）‌</w:t>
            </w:r>
          </w:p>
          <w:p w14:paraId="598682CF">
            <w:pPr>
              <w:pStyle w:val="13"/>
              <w:numPr>
                <w:ilvl w:val="0"/>
                <w:numId w:val="0"/>
              </w:numPr>
              <w:ind w:firstLine="210" w:firstLineChars="100"/>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4.具有履行合同所必需的设备和专业技术能力，需提供近三年内类似公共场所（如医院、学校、车站、加油站）的合作业绩合同至少一份。(提供业绩合同复印件并加盖公章） ‌</w:t>
            </w:r>
          </w:p>
          <w:p w14:paraId="539A72A9">
            <w:pPr>
              <w:spacing w:line="320" w:lineRule="exact"/>
              <w:rPr>
                <w:rFonts w:hint="default" w:ascii="仿宋" w:hAnsi="仿宋" w:eastAsia="仿宋" w:cstheme="minorBidi"/>
                <w:b w:val="0"/>
                <w:bCs/>
                <w:kern w:val="2"/>
                <w:sz w:val="21"/>
                <w:szCs w:val="21"/>
                <w:lang w:val="en-US" w:eastAsia="zh-CN" w:bidi="ar-SA"/>
              </w:rPr>
            </w:pPr>
            <w:r>
              <w:rPr>
                <w:rFonts w:hint="eastAsia" w:ascii="仿宋" w:hAnsi="仿宋" w:eastAsia="仿宋" w:cs="仿宋"/>
                <w:b w:val="0"/>
                <w:bCs w:val="0"/>
                <w:sz w:val="21"/>
                <w:szCs w:val="21"/>
                <w:lang w:val="en-US" w:eastAsia="zh-CN"/>
              </w:rPr>
              <w:t>‌</w:t>
            </w:r>
          </w:p>
        </w:tc>
        <w:tc>
          <w:tcPr>
            <w:tcW w:w="835" w:type="dxa"/>
          </w:tcPr>
          <w:p w14:paraId="530A757A">
            <w:pPr>
              <w:spacing w:line="320" w:lineRule="exact"/>
              <w:rPr>
                <w:rFonts w:ascii="仿宋" w:hAnsi="仿宋" w:eastAsia="仿宋"/>
                <w:b w:val="0"/>
                <w:bCs/>
                <w:szCs w:val="21"/>
              </w:rPr>
            </w:pPr>
          </w:p>
        </w:tc>
        <w:tc>
          <w:tcPr>
            <w:tcW w:w="1275" w:type="dxa"/>
          </w:tcPr>
          <w:p w14:paraId="5A3DF3C1">
            <w:pPr>
              <w:spacing w:line="320" w:lineRule="exact"/>
              <w:rPr>
                <w:rFonts w:ascii="仿宋" w:hAnsi="仿宋" w:eastAsia="仿宋"/>
                <w:b w:val="0"/>
                <w:bCs/>
                <w:szCs w:val="21"/>
              </w:rPr>
            </w:pPr>
          </w:p>
        </w:tc>
        <w:tc>
          <w:tcPr>
            <w:tcW w:w="660" w:type="dxa"/>
          </w:tcPr>
          <w:p w14:paraId="42BE280E">
            <w:pPr>
              <w:spacing w:line="320" w:lineRule="exact"/>
              <w:rPr>
                <w:rFonts w:ascii="仿宋" w:hAnsi="仿宋" w:eastAsia="仿宋"/>
                <w:b w:val="0"/>
                <w:bCs/>
                <w:szCs w:val="21"/>
              </w:rPr>
            </w:pPr>
          </w:p>
        </w:tc>
        <w:tc>
          <w:tcPr>
            <w:tcW w:w="1422" w:type="dxa"/>
          </w:tcPr>
          <w:p w14:paraId="114AE3D4">
            <w:pPr>
              <w:spacing w:line="320" w:lineRule="exact"/>
              <w:rPr>
                <w:rFonts w:ascii="仿宋" w:hAnsi="仿宋" w:eastAsia="仿宋"/>
                <w:b w:val="0"/>
                <w:bCs/>
                <w:szCs w:val="21"/>
              </w:rPr>
            </w:pPr>
          </w:p>
        </w:tc>
      </w:tr>
      <w:tr w14:paraId="23D263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5" w:hRule="atLeast"/>
        </w:trPr>
        <w:tc>
          <w:tcPr>
            <w:tcW w:w="633" w:type="dxa"/>
          </w:tcPr>
          <w:p w14:paraId="3181D12B">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1198" w:type="dxa"/>
          </w:tcPr>
          <w:p w14:paraId="27D00261">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二、项目工期要求</w:t>
            </w:r>
          </w:p>
        </w:tc>
        <w:tc>
          <w:tcPr>
            <w:tcW w:w="3395" w:type="dxa"/>
          </w:tcPr>
          <w:p w14:paraId="62FF2C7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建设周期：合同签订后30天内完成安装调试并投入使用。文档交付：提供设备说明书、电路图、运维手册等全套资料。</w:t>
            </w:r>
          </w:p>
          <w:p w14:paraId="1E6E8A7B">
            <w:pPr>
              <w:pStyle w:val="6"/>
              <w:spacing w:before="212" w:line="220" w:lineRule="auto"/>
              <w:jc w:val="left"/>
              <w:outlineLvl w:val="1"/>
              <w:rPr>
                <w:rFonts w:hint="eastAsia" w:ascii="仿宋" w:hAnsi="仿宋" w:eastAsia="仿宋" w:cs="仿宋"/>
                <w:b w:val="0"/>
                <w:bCs/>
                <w:kern w:val="2"/>
                <w:sz w:val="21"/>
                <w:szCs w:val="21"/>
                <w:lang w:val="en-US" w:eastAsia="zh-CN" w:bidi="ar-SA"/>
              </w:rPr>
            </w:pPr>
          </w:p>
        </w:tc>
        <w:tc>
          <w:tcPr>
            <w:tcW w:w="835" w:type="dxa"/>
          </w:tcPr>
          <w:p w14:paraId="71D8FA19">
            <w:pPr>
              <w:spacing w:line="320" w:lineRule="exact"/>
              <w:rPr>
                <w:rFonts w:ascii="仿宋" w:hAnsi="仿宋" w:eastAsia="仿宋"/>
                <w:b w:val="0"/>
                <w:bCs/>
                <w:szCs w:val="21"/>
              </w:rPr>
            </w:pPr>
          </w:p>
        </w:tc>
        <w:tc>
          <w:tcPr>
            <w:tcW w:w="1275" w:type="dxa"/>
          </w:tcPr>
          <w:p w14:paraId="0FA5DBEE">
            <w:pPr>
              <w:spacing w:line="320" w:lineRule="exact"/>
              <w:rPr>
                <w:rFonts w:hint="eastAsia" w:ascii="仿宋" w:hAnsi="仿宋" w:eastAsia="仿宋"/>
                <w:b w:val="0"/>
                <w:bCs/>
                <w:szCs w:val="21"/>
                <w:lang w:val="en-US" w:eastAsia="zh-CN"/>
              </w:rPr>
            </w:pPr>
          </w:p>
        </w:tc>
        <w:tc>
          <w:tcPr>
            <w:tcW w:w="660" w:type="dxa"/>
          </w:tcPr>
          <w:p w14:paraId="0D3E1990">
            <w:pPr>
              <w:spacing w:line="320" w:lineRule="exact"/>
              <w:rPr>
                <w:rFonts w:ascii="仿宋" w:hAnsi="仿宋" w:eastAsia="仿宋"/>
                <w:b w:val="0"/>
                <w:bCs/>
                <w:szCs w:val="21"/>
              </w:rPr>
            </w:pPr>
          </w:p>
        </w:tc>
        <w:tc>
          <w:tcPr>
            <w:tcW w:w="1422" w:type="dxa"/>
          </w:tcPr>
          <w:p w14:paraId="21EE5EC5">
            <w:pPr>
              <w:spacing w:line="320" w:lineRule="exact"/>
              <w:rPr>
                <w:rFonts w:ascii="仿宋" w:hAnsi="仿宋" w:eastAsia="仿宋"/>
                <w:b w:val="0"/>
                <w:bCs/>
                <w:szCs w:val="21"/>
              </w:rPr>
            </w:pPr>
          </w:p>
        </w:tc>
      </w:tr>
      <w:tr w14:paraId="24662A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7" w:hRule="atLeast"/>
        </w:trPr>
        <w:tc>
          <w:tcPr>
            <w:tcW w:w="633" w:type="dxa"/>
            <w:vMerge w:val="restart"/>
          </w:tcPr>
          <w:p w14:paraId="26974668">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1198" w:type="dxa"/>
            <w:vMerge w:val="restart"/>
          </w:tcPr>
          <w:p w14:paraId="169E33BC">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三、服务要求与技术要求</w:t>
            </w:r>
          </w:p>
        </w:tc>
        <w:tc>
          <w:tcPr>
            <w:tcW w:w="3395" w:type="dxa"/>
          </w:tcPr>
          <w:p w14:paraId="6FF5800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在采购人院区内宿舍楼西侧，门诊医技楼东侧安装充电桩，需避开急救通道、消防通道，确保充电车位标识清晰。在采购人院区至少配置2台不低于120kW双枪直流快充充电桩（共至少4把充电枪），至少配置5台不低于7kW单枪交流慢充充电桩（共至少5把充电枪），共至少满足9个充电车位充电需求。充电桩建成运行一段时间后，若采购人根据实际合理需求，提出增加充电桩数量，则由供应商负责投资建设及运营管理。</w:t>
            </w:r>
          </w:p>
        </w:tc>
        <w:tc>
          <w:tcPr>
            <w:tcW w:w="835" w:type="dxa"/>
          </w:tcPr>
          <w:p w14:paraId="69F71C79">
            <w:pPr>
              <w:spacing w:line="320" w:lineRule="exact"/>
              <w:rPr>
                <w:rFonts w:ascii="仿宋" w:hAnsi="仿宋" w:eastAsia="仿宋"/>
                <w:b w:val="0"/>
                <w:bCs/>
                <w:szCs w:val="21"/>
              </w:rPr>
            </w:pPr>
          </w:p>
        </w:tc>
        <w:tc>
          <w:tcPr>
            <w:tcW w:w="1275" w:type="dxa"/>
          </w:tcPr>
          <w:p w14:paraId="4386C64C">
            <w:pPr>
              <w:spacing w:line="320" w:lineRule="exact"/>
              <w:rPr>
                <w:rFonts w:hint="eastAsia" w:ascii="仿宋" w:hAnsi="仿宋" w:eastAsia="仿宋"/>
                <w:b w:val="0"/>
                <w:bCs/>
                <w:szCs w:val="21"/>
                <w:lang w:val="en-US" w:eastAsia="zh-CN"/>
              </w:rPr>
            </w:pPr>
          </w:p>
        </w:tc>
        <w:tc>
          <w:tcPr>
            <w:tcW w:w="660" w:type="dxa"/>
          </w:tcPr>
          <w:p w14:paraId="342FA697">
            <w:pPr>
              <w:spacing w:line="320" w:lineRule="exact"/>
              <w:rPr>
                <w:rFonts w:ascii="仿宋" w:hAnsi="仿宋" w:eastAsia="仿宋"/>
                <w:b w:val="0"/>
                <w:bCs/>
                <w:szCs w:val="21"/>
              </w:rPr>
            </w:pPr>
          </w:p>
        </w:tc>
        <w:tc>
          <w:tcPr>
            <w:tcW w:w="1422" w:type="dxa"/>
          </w:tcPr>
          <w:p w14:paraId="12EEB00A">
            <w:pPr>
              <w:spacing w:line="320" w:lineRule="exact"/>
              <w:rPr>
                <w:rFonts w:ascii="仿宋" w:hAnsi="仿宋" w:eastAsia="仿宋"/>
                <w:b w:val="0"/>
                <w:bCs/>
                <w:szCs w:val="21"/>
              </w:rPr>
            </w:pPr>
          </w:p>
        </w:tc>
      </w:tr>
      <w:tr w14:paraId="5FCFA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Borders/>
          </w:tcPr>
          <w:p w14:paraId="143A587F">
            <w:pPr>
              <w:spacing w:line="320" w:lineRule="exact"/>
              <w:rPr>
                <w:rFonts w:hint="eastAsia" w:ascii="仿宋" w:hAnsi="仿宋" w:eastAsia="仿宋"/>
                <w:b w:val="0"/>
                <w:bCs/>
                <w:szCs w:val="21"/>
                <w:lang w:val="en-US" w:eastAsia="zh-CN"/>
              </w:rPr>
            </w:pPr>
          </w:p>
        </w:tc>
        <w:tc>
          <w:tcPr>
            <w:tcW w:w="1198" w:type="dxa"/>
            <w:vMerge w:val="continue"/>
            <w:tcBorders/>
          </w:tcPr>
          <w:p w14:paraId="0F4FEC02">
            <w:pPr>
              <w:spacing w:line="320" w:lineRule="exact"/>
              <w:rPr>
                <w:rFonts w:hint="eastAsia" w:ascii="仿宋" w:hAnsi="仿宋" w:eastAsia="仿宋"/>
                <w:b/>
                <w:bCs w:val="0"/>
                <w:sz w:val="24"/>
                <w:szCs w:val="24"/>
                <w:lang w:val="en-US" w:eastAsia="zh-CN"/>
              </w:rPr>
            </w:pPr>
          </w:p>
        </w:tc>
        <w:tc>
          <w:tcPr>
            <w:tcW w:w="3395" w:type="dxa"/>
          </w:tcPr>
          <w:p w14:paraId="6DBD5BE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在采购人配电房非医疗设备用途的变压器下端配电柜（编号：3AA7）接驳充电桩主电缆。3AA7配电柜现有1个备用400A抽屉断路器，4个250A抽屉断路器。供应商须采用国标铜芯电缆，为检修、维护的方便和安全考虑，供应商须在充电桩侧设置总断路器和计量电表，非必要不得进入采购人配电房。施工安装充电桩前，将供电配套施工方案报采购人审核。供电配套施工方案须明确电缆铺设路径、敷设方式（电缆套管、是否铠装）、防漏电保护措施、开挖与道路修复等。</w:t>
            </w:r>
          </w:p>
        </w:tc>
        <w:tc>
          <w:tcPr>
            <w:tcW w:w="835" w:type="dxa"/>
          </w:tcPr>
          <w:p w14:paraId="7B556F8F">
            <w:pPr>
              <w:spacing w:line="320" w:lineRule="exact"/>
              <w:rPr>
                <w:rFonts w:ascii="仿宋" w:hAnsi="仿宋" w:eastAsia="仿宋"/>
                <w:b w:val="0"/>
                <w:bCs/>
                <w:szCs w:val="21"/>
              </w:rPr>
            </w:pPr>
          </w:p>
        </w:tc>
        <w:tc>
          <w:tcPr>
            <w:tcW w:w="1275" w:type="dxa"/>
          </w:tcPr>
          <w:p w14:paraId="28A0B5C1">
            <w:pPr>
              <w:spacing w:line="320" w:lineRule="exact"/>
              <w:rPr>
                <w:rFonts w:hint="eastAsia" w:ascii="仿宋" w:hAnsi="仿宋" w:eastAsia="仿宋"/>
                <w:b w:val="0"/>
                <w:bCs/>
                <w:szCs w:val="21"/>
                <w:lang w:val="en-US" w:eastAsia="zh-CN"/>
              </w:rPr>
            </w:pPr>
          </w:p>
        </w:tc>
        <w:tc>
          <w:tcPr>
            <w:tcW w:w="660" w:type="dxa"/>
          </w:tcPr>
          <w:p w14:paraId="55531EFB">
            <w:pPr>
              <w:spacing w:line="320" w:lineRule="exact"/>
              <w:rPr>
                <w:rFonts w:ascii="仿宋" w:hAnsi="仿宋" w:eastAsia="仿宋"/>
                <w:b w:val="0"/>
                <w:bCs/>
                <w:szCs w:val="21"/>
              </w:rPr>
            </w:pPr>
          </w:p>
        </w:tc>
        <w:tc>
          <w:tcPr>
            <w:tcW w:w="1422" w:type="dxa"/>
          </w:tcPr>
          <w:p w14:paraId="7B387C26">
            <w:pPr>
              <w:spacing w:line="320" w:lineRule="exact"/>
              <w:rPr>
                <w:rFonts w:ascii="仿宋" w:hAnsi="仿宋" w:eastAsia="仿宋"/>
                <w:b w:val="0"/>
                <w:bCs/>
                <w:szCs w:val="21"/>
              </w:rPr>
            </w:pPr>
          </w:p>
        </w:tc>
      </w:tr>
      <w:tr w14:paraId="4AE24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Borders/>
          </w:tcPr>
          <w:p w14:paraId="56C34382">
            <w:pPr>
              <w:spacing w:line="320" w:lineRule="exact"/>
              <w:rPr>
                <w:rFonts w:hint="eastAsia" w:ascii="仿宋" w:hAnsi="仿宋" w:eastAsia="仿宋"/>
                <w:b w:val="0"/>
                <w:bCs/>
                <w:szCs w:val="21"/>
                <w:lang w:val="en-US" w:eastAsia="zh-CN"/>
              </w:rPr>
            </w:pPr>
          </w:p>
        </w:tc>
        <w:tc>
          <w:tcPr>
            <w:tcW w:w="1198" w:type="dxa"/>
            <w:vMerge w:val="continue"/>
            <w:tcBorders/>
          </w:tcPr>
          <w:p w14:paraId="468B05DD">
            <w:pPr>
              <w:spacing w:line="320" w:lineRule="exact"/>
              <w:rPr>
                <w:rFonts w:hint="eastAsia" w:ascii="仿宋" w:hAnsi="仿宋" w:eastAsia="仿宋"/>
                <w:b/>
                <w:bCs w:val="0"/>
                <w:sz w:val="24"/>
                <w:szCs w:val="24"/>
                <w:lang w:val="en-US" w:eastAsia="zh-CN"/>
              </w:rPr>
            </w:pPr>
          </w:p>
        </w:tc>
        <w:tc>
          <w:tcPr>
            <w:tcW w:w="3395" w:type="dxa"/>
          </w:tcPr>
          <w:p w14:paraId="7377E514">
            <w:pPr>
              <w:pStyle w:val="19"/>
              <w:numPr>
                <w:ilvl w:val="0"/>
                <w:numId w:val="0"/>
              </w:numPr>
              <w:ind w:leftChars="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3.设备技术要求：充电设施设计和建设必须符合国家及地方相关法规及行业标准；充电设备须满足相关国标要求。因为供应商原因造成采购人配电房设备故障或损坏，由供应商负责修复或更换并承担费用。充电设备须适配主流新能源车型（支持国标/欧标接口），支持OTA远程升级，具备防雷、过载保护、急停按钮等安全功能。充电桩所有权及归供应商所有。</w:t>
            </w:r>
          </w:p>
        </w:tc>
        <w:tc>
          <w:tcPr>
            <w:tcW w:w="835" w:type="dxa"/>
          </w:tcPr>
          <w:p w14:paraId="4D53C8E5">
            <w:pPr>
              <w:spacing w:line="320" w:lineRule="exact"/>
              <w:rPr>
                <w:rFonts w:ascii="仿宋" w:hAnsi="仿宋" w:eastAsia="仿宋"/>
                <w:b w:val="0"/>
                <w:bCs/>
                <w:szCs w:val="21"/>
              </w:rPr>
            </w:pPr>
          </w:p>
        </w:tc>
        <w:tc>
          <w:tcPr>
            <w:tcW w:w="1275" w:type="dxa"/>
          </w:tcPr>
          <w:p w14:paraId="2EF34A90">
            <w:pPr>
              <w:spacing w:line="320" w:lineRule="exact"/>
              <w:rPr>
                <w:rFonts w:hint="eastAsia" w:ascii="仿宋" w:hAnsi="仿宋" w:eastAsia="仿宋"/>
                <w:b w:val="0"/>
                <w:bCs/>
                <w:szCs w:val="21"/>
                <w:lang w:val="en-US" w:eastAsia="zh-CN"/>
              </w:rPr>
            </w:pPr>
          </w:p>
        </w:tc>
        <w:tc>
          <w:tcPr>
            <w:tcW w:w="660" w:type="dxa"/>
          </w:tcPr>
          <w:p w14:paraId="19C9C313">
            <w:pPr>
              <w:spacing w:line="320" w:lineRule="exact"/>
              <w:rPr>
                <w:rFonts w:ascii="仿宋" w:hAnsi="仿宋" w:eastAsia="仿宋"/>
                <w:b w:val="0"/>
                <w:bCs/>
                <w:szCs w:val="21"/>
              </w:rPr>
            </w:pPr>
          </w:p>
        </w:tc>
        <w:tc>
          <w:tcPr>
            <w:tcW w:w="1422" w:type="dxa"/>
          </w:tcPr>
          <w:p w14:paraId="0FE38A68">
            <w:pPr>
              <w:spacing w:line="320" w:lineRule="exact"/>
              <w:rPr>
                <w:rFonts w:ascii="仿宋" w:hAnsi="仿宋" w:eastAsia="仿宋"/>
                <w:b w:val="0"/>
                <w:bCs/>
                <w:szCs w:val="21"/>
              </w:rPr>
            </w:pPr>
          </w:p>
        </w:tc>
      </w:tr>
      <w:tr w14:paraId="55AAA3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Borders/>
          </w:tcPr>
          <w:p w14:paraId="77EB19F7">
            <w:pPr>
              <w:spacing w:line="320" w:lineRule="exact"/>
              <w:rPr>
                <w:rFonts w:hint="eastAsia" w:ascii="仿宋" w:hAnsi="仿宋" w:eastAsia="仿宋"/>
                <w:b w:val="0"/>
                <w:bCs/>
                <w:szCs w:val="21"/>
                <w:lang w:val="en-US" w:eastAsia="zh-CN"/>
              </w:rPr>
            </w:pPr>
          </w:p>
        </w:tc>
        <w:tc>
          <w:tcPr>
            <w:tcW w:w="1198" w:type="dxa"/>
            <w:vMerge w:val="continue"/>
            <w:tcBorders/>
          </w:tcPr>
          <w:p w14:paraId="1EDC1EAB">
            <w:pPr>
              <w:spacing w:line="320" w:lineRule="exact"/>
              <w:rPr>
                <w:rFonts w:hint="eastAsia" w:ascii="仿宋" w:hAnsi="仿宋" w:eastAsia="仿宋"/>
                <w:b/>
                <w:bCs w:val="0"/>
                <w:sz w:val="24"/>
                <w:szCs w:val="24"/>
                <w:lang w:val="en-US" w:eastAsia="zh-CN"/>
              </w:rPr>
            </w:pPr>
          </w:p>
        </w:tc>
        <w:tc>
          <w:tcPr>
            <w:tcW w:w="3395" w:type="dxa"/>
          </w:tcPr>
          <w:p w14:paraId="3368B70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4.智能化管理功能：支持扫码支付、微信小程序预约、充电状态和发生费用可实时查询；设备页面严禁投放任何形式的商业广告，特别是与医疗、保健品等相关的违规广告。须符合《个人信息保护法》要求，确保用户数据安全。</w:t>
            </w:r>
          </w:p>
        </w:tc>
        <w:tc>
          <w:tcPr>
            <w:tcW w:w="835" w:type="dxa"/>
          </w:tcPr>
          <w:p w14:paraId="1D842840">
            <w:pPr>
              <w:spacing w:line="320" w:lineRule="exact"/>
              <w:rPr>
                <w:rFonts w:ascii="仿宋" w:hAnsi="仿宋" w:eastAsia="仿宋"/>
                <w:b w:val="0"/>
                <w:bCs/>
                <w:szCs w:val="21"/>
              </w:rPr>
            </w:pPr>
          </w:p>
        </w:tc>
        <w:tc>
          <w:tcPr>
            <w:tcW w:w="1275" w:type="dxa"/>
          </w:tcPr>
          <w:p w14:paraId="16C12615">
            <w:pPr>
              <w:spacing w:line="320" w:lineRule="exact"/>
              <w:rPr>
                <w:rFonts w:hint="eastAsia" w:ascii="仿宋" w:hAnsi="仿宋" w:eastAsia="仿宋"/>
                <w:b w:val="0"/>
                <w:bCs/>
                <w:szCs w:val="21"/>
                <w:lang w:val="en-US" w:eastAsia="zh-CN"/>
              </w:rPr>
            </w:pPr>
          </w:p>
        </w:tc>
        <w:tc>
          <w:tcPr>
            <w:tcW w:w="660" w:type="dxa"/>
          </w:tcPr>
          <w:p w14:paraId="2DFA4159">
            <w:pPr>
              <w:spacing w:line="320" w:lineRule="exact"/>
              <w:rPr>
                <w:rFonts w:ascii="仿宋" w:hAnsi="仿宋" w:eastAsia="仿宋"/>
                <w:b w:val="0"/>
                <w:bCs/>
                <w:szCs w:val="21"/>
              </w:rPr>
            </w:pPr>
          </w:p>
        </w:tc>
        <w:tc>
          <w:tcPr>
            <w:tcW w:w="1422" w:type="dxa"/>
          </w:tcPr>
          <w:p w14:paraId="09C60274">
            <w:pPr>
              <w:spacing w:line="320" w:lineRule="exact"/>
              <w:rPr>
                <w:rFonts w:ascii="仿宋" w:hAnsi="仿宋" w:eastAsia="仿宋"/>
                <w:b w:val="0"/>
                <w:bCs/>
                <w:szCs w:val="21"/>
              </w:rPr>
            </w:pPr>
          </w:p>
        </w:tc>
      </w:tr>
      <w:tr w14:paraId="6E11D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Borders/>
          </w:tcPr>
          <w:p w14:paraId="4D12455B">
            <w:pPr>
              <w:spacing w:line="320" w:lineRule="exact"/>
              <w:rPr>
                <w:rFonts w:hint="eastAsia" w:ascii="仿宋" w:hAnsi="仿宋" w:eastAsia="仿宋"/>
                <w:b w:val="0"/>
                <w:bCs/>
                <w:szCs w:val="21"/>
                <w:lang w:val="en-US" w:eastAsia="zh-CN"/>
              </w:rPr>
            </w:pPr>
          </w:p>
        </w:tc>
        <w:tc>
          <w:tcPr>
            <w:tcW w:w="1198" w:type="dxa"/>
            <w:vMerge w:val="continue"/>
            <w:tcBorders/>
          </w:tcPr>
          <w:p w14:paraId="0F4C5454">
            <w:pPr>
              <w:spacing w:line="320" w:lineRule="exact"/>
              <w:rPr>
                <w:rFonts w:hint="eastAsia" w:ascii="仿宋" w:hAnsi="仿宋" w:eastAsia="仿宋"/>
                <w:b/>
                <w:bCs w:val="0"/>
                <w:sz w:val="24"/>
                <w:szCs w:val="24"/>
                <w:lang w:val="en-US" w:eastAsia="zh-CN"/>
              </w:rPr>
            </w:pPr>
          </w:p>
        </w:tc>
        <w:tc>
          <w:tcPr>
            <w:tcW w:w="3395" w:type="dxa"/>
          </w:tcPr>
          <w:p w14:paraId="6CF7477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5.设置中文提示牌，标明充电流程、收费标准、联系方式；充电收费标准不得高于市场平均价格。</w:t>
            </w:r>
          </w:p>
        </w:tc>
        <w:tc>
          <w:tcPr>
            <w:tcW w:w="835" w:type="dxa"/>
          </w:tcPr>
          <w:p w14:paraId="0C80077A">
            <w:pPr>
              <w:spacing w:line="320" w:lineRule="exact"/>
              <w:rPr>
                <w:rFonts w:ascii="仿宋" w:hAnsi="仿宋" w:eastAsia="仿宋"/>
                <w:b w:val="0"/>
                <w:bCs/>
                <w:szCs w:val="21"/>
              </w:rPr>
            </w:pPr>
          </w:p>
        </w:tc>
        <w:tc>
          <w:tcPr>
            <w:tcW w:w="1275" w:type="dxa"/>
          </w:tcPr>
          <w:p w14:paraId="7D8DDF85">
            <w:pPr>
              <w:spacing w:line="320" w:lineRule="exact"/>
              <w:rPr>
                <w:rFonts w:hint="eastAsia" w:ascii="仿宋" w:hAnsi="仿宋" w:eastAsia="仿宋"/>
                <w:b w:val="0"/>
                <w:bCs/>
                <w:szCs w:val="21"/>
                <w:lang w:val="en-US" w:eastAsia="zh-CN"/>
              </w:rPr>
            </w:pPr>
          </w:p>
        </w:tc>
        <w:tc>
          <w:tcPr>
            <w:tcW w:w="660" w:type="dxa"/>
          </w:tcPr>
          <w:p w14:paraId="00A48D3B">
            <w:pPr>
              <w:spacing w:line="320" w:lineRule="exact"/>
              <w:rPr>
                <w:rFonts w:ascii="仿宋" w:hAnsi="仿宋" w:eastAsia="仿宋"/>
                <w:b w:val="0"/>
                <w:bCs/>
                <w:szCs w:val="21"/>
              </w:rPr>
            </w:pPr>
          </w:p>
        </w:tc>
        <w:tc>
          <w:tcPr>
            <w:tcW w:w="1422" w:type="dxa"/>
          </w:tcPr>
          <w:p w14:paraId="373ACA4A">
            <w:pPr>
              <w:spacing w:line="320" w:lineRule="exact"/>
              <w:rPr>
                <w:rFonts w:ascii="仿宋" w:hAnsi="仿宋" w:eastAsia="仿宋"/>
                <w:b w:val="0"/>
                <w:bCs/>
                <w:szCs w:val="21"/>
              </w:rPr>
            </w:pPr>
          </w:p>
        </w:tc>
      </w:tr>
      <w:tr w14:paraId="7786A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4" w:hRule="atLeast"/>
        </w:trPr>
        <w:tc>
          <w:tcPr>
            <w:tcW w:w="633" w:type="dxa"/>
            <w:vMerge w:val="continue"/>
            <w:tcBorders/>
          </w:tcPr>
          <w:p w14:paraId="548764F9">
            <w:pPr>
              <w:spacing w:line="320" w:lineRule="exact"/>
              <w:rPr>
                <w:rFonts w:hint="eastAsia" w:ascii="仿宋" w:hAnsi="仿宋" w:eastAsia="仿宋"/>
                <w:b w:val="0"/>
                <w:bCs/>
                <w:szCs w:val="21"/>
                <w:lang w:val="en-US" w:eastAsia="zh-CN"/>
              </w:rPr>
            </w:pPr>
          </w:p>
        </w:tc>
        <w:tc>
          <w:tcPr>
            <w:tcW w:w="1198" w:type="dxa"/>
            <w:vMerge w:val="continue"/>
            <w:tcBorders/>
          </w:tcPr>
          <w:p w14:paraId="575E4B22">
            <w:pPr>
              <w:spacing w:line="320" w:lineRule="exact"/>
              <w:rPr>
                <w:rFonts w:hint="eastAsia" w:ascii="仿宋" w:hAnsi="仿宋" w:eastAsia="仿宋"/>
                <w:b/>
                <w:bCs w:val="0"/>
                <w:sz w:val="24"/>
                <w:szCs w:val="24"/>
                <w:lang w:val="en-US" w:eastAsia="zh-CN"/>
              </w:rPr>
            </w:pPr>
          </w:p>
        </w:tc>
        <w:tc>
          <w:tcPr>
            <w:tcW w:w="3395" w:type="dxa"/>
          </w:tcPr>
          <w:p w14:paraId="1ACF0BB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 xml:space="preserve">6.无障碍设计：充电桩操作界面需符合无障碍标准（如低位安装、语音提示）。 </w:t>
            </w:r>
          </w:p>
        </w:tc>
        <w:tc>
          <w:tcPr>
            <w:tcW w:w="835" w:type="dxa"/>
          </w:tcPr>
          <w:p w14:paraId="563A3910">
            <w:pPr>
              <w:spacing w:line="320" w:lineRule="exact"/>
              <w:rPr>
                <w:rFonts w:ascii="仿宋" w:hAnsi="仿宋" w:eastAsia="仿宋"/>
                <w:b w:val="0"/>
                <w:bCs/>
                <w:szCs w:val="21"/>
              </w:rPr>
            </w:pPr>
          </w:p>
        </w:tc>
        <w:tc>
          <w:tcPr>
            <w:tcW w:w="1275" w:type="dxa"/>
          </w:tcPr>
          <w:p w14:paraId="59F401D5">
            <w:pPr>
              <w:spacing w:line="320" w:lineRule="exact"/>
              <w:rPr>
                <w:rFonts w:hint="eastAsia" w:ascii="仿宋" w:hAnsi="仿宋" w:eastAsia="仿宋"/>
                <w:b w:val="0"/>
                <w:bCs/>
                <w:szCs w:val="21"/>
                <w:lang w:val="en-US" w:eastAsia="zh-CN"/>
              </w:rPr>
            </w:pPr>
          </w:p>
        </w:tc>
        <w:tc>
          <w:tcPr>
            <w:tcW w:w="660" w:type="dxa"/>
          </w:tcPr>
          <w:p w14:paraId="00BD21F9">
            <w:pPr>
              <w:spacing w:line="320" w:lineRule="exact"/>
              <w:rPr>
                <w:rFonts w:ascii="仿宋" w:hAnsi="仿宋" w:eastAsia="仿宋"/>
                <w:b w:val="0"/>
                <w:bCs/>
                <w:szCs w:val="21"/>
              </w:rPr>
            </w:pPr>
          </w:p>
        </w:tc>
        <w:tc>
          <w:tcPr>
            <w:tcW w:w="1422" w:type="dxa"/>
          </w:tcPr>
          <w:p w14:paraId="1782420E">
            <w:pPr>
              <w:spacing w:line="320" w:lineRule="exact"/>
              <w:rPr>
                <w:rFonts w:ascii="仿宋" w:hAnsi="仿宋" w:eastAsia="仿宋"/>
                <w:b w:val="0"/>
                <w:bCs/>
                <w:szCs w:val="21"/>
              </w:rPr>
            </w:pPr>
          </w:p>
        </w:tc>
      </w:tr>
      <w:tr w14:paraId="7A689E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Borders/>
          </w:tcPr>
          <w:p w14:paraId="4C0C3508">
            <w:pPr>
              <w:spacing w:line="320" w:lineRule="exact"/>
              <w:rPr>
                <w:rFonts w:hint="eastAsia" w:ascii="仿宋" w:hAnsi="仿宋" w:eastAsia="仿宋"/>
                <w:b w:val="0"/>
                <w:bCs/>
                <w:szCs w:val="21"/>
                <w:lang w:val="en-US" w:eastAsia="zh-CN"/>
              </w:rPr>
            </w:pPr>
          </w:p>
        </w:tc>
        <w:tc>
          <w:tcPr>
            <w:tcW w:w="1198" w:type="dxa"/>
            <w:vMerge w:val="continue"/>
            <w:tcBorders/>
          </w:tcPr>
          <w:p w14:paraId="38DF91D9">
            <w:pPr>
              <w:spacing w:line="320" w:lineRule="exact"/>
              <w:rPr>
                <w:rFonts w:hint="eastAsia" w:ascii="仿宋" w:hAnsi="仿宋" w:eastAsia="仿宋"/>
                <w:b/>
                <w:bCs w:val="0"/>
                <w:sz w:val="24"/>
                <w:szCs w:val="24"/>
                <w:lang w:val="en-US" w:eastAsia="zh-CN"/>
              </w:rPr>
            </w:pPr>
          </w:p>
        </w:tc>
        <w:tc>
          <w:tcPr>
            <w:tcW w:w="3395" w:type="dxa"/>
          </w:tcPr>
          <w:p w14:paraId="394D44C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7.安全要求：供应商是新能源汽车充电设施安全生产的责任主体，对所有安装的设备运营安全负完全责任。充电桩需通过IP54及以上防护等级认证，适应户外环境；安装防撞护栏；定期巡检（每月至少1次），提供漏电、火灾应急预案；每台充电桩旁边均须配备灭火器等，符合消防规范。医院为人员密集场所，安全考虑，充电桩不得为新能源大货车提供充电服务。</w:t>
            </w:r>
          </w:p>
        </w:tc>
        <w:tc>
          <w:tcPr>
            <w:tcW w:w="835" w:type="dxa"/>
          </w:tcPr>
          <w:p w14:paraId="713DE95E">
            <w:pPr>
              <w:spacing w:line="320" w:lineRule="exact"/>
              <w:rPr>
                <w:rFonts w:ascii="仿宋" w:hAnsi="仿宋" w:eastAsia="仿宋"/>
                <w:b w:val="0"/>
                <w:bCs/>
                <w:szCs w:val="21"/>
              </w:rPr>
            </w:pPr>
          </w:p>
        </w:tc>
        <w:tc>
          <w:tcPr>
            <w:tcW w:w="1275" w:type="dxa"/>
          </w:tcPr>
          <w:p w14:paraId="57739385">
            <w:pPr>
              <w:spacing w:line="320" w:lineRule="exact"/>
              <w:rPr>
                <w:rFonts w:hint="eastAsia" w:ascii="仿宋" w:hAnsi="仿宋" w:eastAsia="仿宋"/>
                <w:b w:val="0"/>
                <w:bCs/>
                <w:szCs w:val="21"/>
                <w:lang w:val="en-US" w:eastAsia="zh-CN"/>
              </w:rPr>
            </w:pPr>
          </w:p>
        </w:tc>
        <w:tc>
          <w:tcPr>
            <w:tcW w:w="660" w:type="dxa"/>
          </w:tcPr>
          <w:p w14:paraId="7093C78A">
            <w:pPr>
              <w:spacing w:line="320" w:lineRule="exact"/>
              <w:rPr>
                <w:rFonts w:ascii="仿宋" w:hAnsi="仿宋" w:eastAsia="仿宋"/>
                <w:b w:val="0"/>
                <w:bCs/>
                <w:szCs w:val="21"/>
              </w:rPr>
            </w:pPr>
          </w:p>
        </w:tc>
        <w:tc>
          <w:tcPr>
            <w:tcW w:w="1422" w:type="dxa"/>
          </w:tcPr>
          <w:p w14:paraId="67A77F8D">
            <w:pPr>
              <w:spacing w:line="320" w:lineRule="exact"/>
              <w:rPr>
                <w:rFonts w:ascii="仿宋" w:hAnsi="仿宋" w:eastAsia="仿宋"/>
                <w:b w:val="0"/>
                <w:bCs/>
                <w:szCs w:val="21"/>
              </w:rPr>
            </w:pPr>
          </w:p>
        </w:tc>
      </w:tr>
      <w:tr w14:paraId="3AD6E2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Borders/>
          </w:tcPr>
          <w:p w14:paraId="0C11EE4F">
            <w:pPr>
              <w:spacing w:line="320" w:lineRule="exact"/>
              <w:rPr>
                <w:rFonts w:hint="eastAsia" w:ascii="仿宋" w:hAnsi="仿宋" w:eastAsia="仿宋"/>
                <w:b w:val="0"/>
                <w:bCs/>
                <w:szCs w:val="21"/>
                <w:lang w:val="en-US" w:eastAsia="zh-CN"/>
              </w:rPr>
            </w:pPr>
          </w:p>
        </w:tc>
        <w:tc>
          <w:tcPr>
            <w:tcW w:w="1198" w:type="dxa"/>
            <w:vMerge w:val="continue"/>
            <w:tcBorders/>
          </w:tcPr>
          <w:p w14:paraId="6D5044A5">
            <w:pPr>
              <w:spacing w:line="320" w:lineRule="exact"/>
              <w:rPr>
                <w:rFonts w:hint="eastAsia" w:ascii="仿宋" w:hAnsi="仿宋" w:eastAsia="仿宋"/>
                <w:b/>
                <w:bCs w:val="0"/>
                <w:sz w:val="24"/>
                <w:szCs w:val="24"/>
                <w:lang w:val="en-US" w:eastAsia="zh-CN"/>
              </w:rPr>
            </w:pPr>
          </w:p>
        </w:tc>
        <w:tc>
          <w:tcPr>
            <w:tcW w:w="3395" w:type="dxa"/>
          </w:tcPr>
          <w:p w14:paraId="175A64C0">
            <w:pPr>
              <w:pStyle w:val="19"/>
              <w:numPr>
                <w:ilvl w:val="0"/>
                <w:numId w:val="0"/>
              </w:numPr>
              <w:ind w:leftChars="0"/>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8.免费运营及维护保养：供应商安排专职运维团队对充电设施进行定期巡检、维护、保养。提供 7×24小时应急响应，向采购人报备联系方式。一般故障2小时内到场，4小时内修复，特殊故障按双方协商时间解决；定期提交运维报告（季度），包含设备巡检记录。</w:t>
            </w:r>
          </w:p>
        </w:tc>
        <w:tc>
          <w:tcPr>
            <w:tcW w:w="835" w:type="dxa"/>
          </w:tcPr>
          <w:p w14:paraId="36CD1F68">
            <w:pPr>
              <w:spacing w:line="320" w:lineRule="exact"/>
              <w:rPr>
                <w:rFonts w:ascii="仿宋" w:hAnsi="仿宋" w:eastAsia="仿宋"/>
                <w:b w:val="0"/>
                <w:bCs/>
                <w:szCs w:val="21"/>
              </w:rPr>
            </w:pPr>
          </w:p>
        </w:tc>
        <w:tc>
          <w:tcPr>
            <w:tcW w:w="1275" w:type="dxa"/>
          </w:tcPr>
          <w:p w14:paraId="22F5E193">
            <w:pPr>
              <w:spacing w:line="320" w:lineRule="exact"/>
              <w:rPr>
                <w:rFonts w:hint="eastAsia" w:ascii="仿宋" w:hAnsi="仿宋" w:eastAsia="仿宋"/>
                <w:b w:val="0"/>
                <w:bCs/>
                <w:szCs w:val="21"/>
                <w:lang w:val="en-US" w:eastAsia="zh-CN"/>
              </w:rPr>
            </w:pPr>
          </w:p>
        </w:tc>
        <w:tc>
          <w:tcPr>
            <w:tcW w:w="660" w:type="dxa"/>
          </w:tcPr>
          <w:p w14:paraId="45145D88">
            <w:pPr>
              <w:spacing w:line="320" w:lineRule="exact"/>
              <w:rPr>
                <w:rFonts w:ascii="仿宋" w:hAnsi="仿宋" w:eastAsia="仿宋"/>
                <w:b w:val="0"/>
                <w:bCs/>
                <w:szCs w:val="21"/>
              </w:rPr>
            </w:pPr>
          </w:p>
        </w:tc>
        <w:tc>
          <w:tcPr>
            <w:tcW w:w="1422" w:type="dxa"/>
          </w:tcPr>
          <w:p w14:paraId="3DFAFC17">
            <w:pPr>
              <w:spacing w:line="320" w:lineRule="exact"/>
              <w:rPr>
                <w:rFonts w:ascii="仿宋" w:hAnsi="仿宋" w:eastAsia="仿宋"/>
                <w:b w:val="0"/>
                <w:bCs/>
                <w:szCs w:val="21"/>
              </w:rPr>
            </w:pPr>
          </w:p>
        </w:tc>
      </w:tr>
      <w:tr w14:paraId="612AF0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Borders/>
          </w:tcPr>
          <w:p w14:paraId="326960D6">
            <w:pPr>
              <w:spacing w:line="320" w:lineRule="exact"/>
              <w:rPr>
                <w:rFonts w:hint="eastAsia" w:ascii="仿宋" w:hAnsi="仿宋" w:eastAsia="仿宋"/>
                <w:b w:val="0"/>
                <w:bCs/>
                <w:szCs w:val="21"/>
                <w:lang w:val="en-US" w:eastAsia="zh-CN"/>
              </w:rPr>
            </w:pPr>
          </w:p>
        </w:tc>
        <w:tc>
          <w:tcPr>
            <w:tcW w:w="1198" w:type="dxa"/>
            <w:vMerge w:val="continue"/>
            <w:tcBorders/>
          </w:tcPr>
          <w:p w14:paraId="2D3D4F16">
            <w:pPr>
              <w:spacing w:line="320" w:lineRule="exact"/>
              <w:rPr>
                <w:rFonts w:hint="eastAsia" w:ascii="仿宋" w:hAnsi="仿宋" w:eastAsia="仿宋"/>
                <w:b/>
                <w:bCs w:val="0"/>
                <w:sz w:val="24"/>
                <w:szCs w:val="24"/>
                <w:lang w:val="en-US" w:eastAsia="zh-CN"/>
              </w:rPr>
            </w:pPr>
          </w:p>
        </w:tc>
        <w:tc>
          <w:tcPr>
            <w:tcW w:w="3395" w:type="dxa"/>
          </w:tcPr>
          <w:p w14:paraId="38DFD71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9.</w:t>
            </w:r>
            <w:r>
              <w:rPr>
                <w:rFonts w:hint="default" w:ascii="仿宋" w:hAnsi="仿宋" w:eastAsia="仿宋" w:cs="仿宋"/>
                <w:b w:val="0"/>
                <w:bCs/>
                <w:kern w:val="2"/>
                <w:sz w:val="21"/>
                <w:szCs w:val="21"/>
                <w:lang w:val="en-US" w:eastAsia="zh-CN" w:bidi="ar-SA"/>
              </w:rPr>
              <w:t>新能源汽车在供应商设备充电中发生的安全事故</w:t>
            </w:r>
            <w:r>
              <w:rPr>
                <w:rFonts w:hint="eastAsia" w:ascii="仿宋" w:hAnsi="仿宋" w:eastAsia="仿宋" w:cs="仿宋"/>
                <w:b w:val="0"/>
                <w:bCs/>
                <w:kern w:val="2"/>
                <w:sz w:val="21"/>
                <w:szCs w:val="21"/>
                <w:lang w:val="en-US" w:eastAsia="zh-CN" w:bidi="ar-SA"/>
              </w:rPr>
              <w:t>和</w:t>
            </w:r>
            <w:r>
              <w:rPr>
                <w:rFonts w:hint="default" w:ascii="仿宋" w:hAnsi="仿宋" w:eastAsia="仿宋" w:cs="仿宋"/>
                <w:b w:val="0"/>
                <w:bCs/>
                <w:kern w:val="2"/>
                <w:sz w:val="21"/>
                <w:szCs w:val="21"/>
                <w:lang w:val="en-US" w:eastAsia="zh-CN" w:bidi="ar-SA"/>
              </w:rPr>
              <w:t>纠纷，由供应商</w:t>
            </w:r>
            <w:r>
              <w:rPr>
                <w:rFonts w:hint="eastAsia" w:ascii="仿宋" w:hAnsi="仿宋" w:eastAsia="仿宋" w:cs="仿宋"/>
                <w:b w:val="0"/>
                <w:bCs/>
                <w:kern w:val="2"/>
                <w:sz w:val="21"/>
                <w:szCs w:val="21"/>
                <w:lang w:val="en-US" w:eastAsia="zh-CN" w:bidi="ar-SA"/>
              </w:rPr>
              <w:t>及</w:t>
            </w:r>
            <w:r>
              <w:rPr>
                <w:rFonts w:hint="default" w:ascii="仿宋" w:hAnsi="仿宋" w:eastAsia="仿宋" w:cs="仿宋"/>
                <w:b w:val="0"/>
                <w:bCs/>
                <w:kern w:val="2"/>
                <w:sz w:val="21"/>
                <w:szCs w:val="21"/>
                <w:lang w:val="en-US" w:eastAsia="zh-CN" w:bidi="ar-SA"/>
              </w:rPr>
              <w:t>时处理，</w:t>
            </w:r>
            <w:r>
              <w:rPr>
                <w:rFonts w:hint="eastAsia" w:ascii="仿宋" w:hAnsi="仿宋" w:eastAsia="仿宋" w:cs="仿宋"/>
                <w:b w:val="0"/>
                <w:bCs/>
                <w:kern w:val="2"/>
                <w:sz w:val="21"/>
                <w:szCs w:val="21"/>
                <w:lang w:val="en-US" w:eastAsia="zh-CN" w:bidi="ar-SA"/>
              </w:rPr>
              <w:t>采购人</w:t>
            </w:r>
            <w:r>
              <w:rPr>
                <w:rFonts w:hint="default" w:ascii="仿宋" w:hAnsi="仿宋" w:eastAsia="仿宋" w:cs="仿宋"/>
                <w:b w:val="0"/>
                <w:bCs/>
                <w:kern w:val="2"/>
                <w:sz w:val="21"/>
                <w:szCs w:val="21"/>
                <w:lang w:val="en-US" w:eastAsia="zh-CN" w:bidi="ar-SA"/>
              </w:rPr>
              <w:t>不承担任何责任。成交供应商必须购买有效的商业保险（产品责任险等），因设备质量问题或运营管理不善导致用户发生人身伤害或财产损失的，由成交供应商承担全部赔偿责任。</w:t>
            </w:r>
          </w:p>
          <w:p w14:paraId="4EF38F41">
            <w:pPr>
              <w:pStyle w:val="20"/>
              <w:numPr>
                <w:ilvl w:val="0"/>
                <w:numId w:val="0"/>
              </w:numPr>
              <w:ind w:leftChars="0"/>
              <w:rPr>
                <w:rFonts w:hint="eastAsia" w:ascii="仿宋" w:hAnsi="仿宋" w:eastAsia="仿宋" w:cs="仿宋"/>
                <w:b w:val="0"/>
                <w:bCs/>
                <w:kern w:val="2"/>
                <w:sz w:val="21"/>
                <w:szCs w:val="21"/>
                <w:lang w:val="en-US" w:eastAsia="zh-CN" w:bidi="ar-SA"/>
              </w:rPr>
            </w:pPr>
          </w:p>
        </w:tc>
        <w:tc>
          <w:tcPr>
            <w:tcW w:w="835" w:type="dxa"/>
          </w:tcPr>
          <w:p w14:paraId="12DD1109">
            <w:pPr>
              <w:spacing w:line="320" w:lineRule="exact"/>
              <w:rPr>
                <w:rFonts w:ascii="仿宋" w:hAnsi="仿宋" w:eastAsia="仿宋"/>
                <w:b w:val="0"/>
                <w:bCs/>
                <w:szCs w:val="21"/>
              </w:rPr>
            </w:pPr>
          </w:p>
        </w:tc>
        <w:tc>
          <w:tcPr>
            <w:tcW w:w="1275" w:type="dxa"/>
          </w:tcPr>
          <w:p w14:paraId="39590DC7">
            <w:pPr>
              <w:spacing w:line="320" w:lineRule="exact"/>
              <w:rPr>
                <w:rFonts w:hint="eastAsia" w:ascii="仿宋" w:hAnsi="仿宋" w:eastAsia="仿宋"/>
                <w:b w:val="0"/>
                <w:bCs/>
                <w:szCs w:val="21"/>
                <w:lang w:val="en-US" w:eastAsia="zh-CN"/>
              </w:rPr>
            </w:pPr>
          </w:p>
        </w:tc>
        <w:tc>
          <w:tcPr>
            <w:tcW w:w="660" w:type="dxa"/>
          </w:tcPr>
          <w:p w14:paraId="50E636C7">
            <w:pPr>
              <w:spacing w:line="320" w:lineRule="exact"/>
              <w:rPr>
                <w:rFonts w:ascii="仿宋" w:hAnsi="仿宋" w:eastAsia="仿宋"/>
                <w:b w:val="0"/>
                <w:bCs/>
                <w:szCs w:val="21"/>
              </w:rPr>
            </w:pPr>
          </w:p>
        </w:tc>
        <w:tc>
          <w:tcPr>
            <w:tcW w:w="1422" w:type="dxa"/>
          </w:tcPr>
          <w:p w14:paraId="7B2B27AC">
            <w:pPr>
              <w:spacing w:line="320" w:lineRule="exact"/>
              <w:rPr>
                <w:rFonts w:ascii="仿宋" w:hAnsi="仿宋" w:eastAsia="仿宋"/>
                <w:b w:val="0"/>
                <w:bCs/>
                <w:szCs w:val="21"/>
              </w:rPr>
            </w:pPr>
          </w:p>
        </w:tc>
      </w:tr>
      <w:tr w14:paraId="65000E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Borders/>
          </w:tcPr>
          <w:p w14:paraId="78249F7B">
            <w:pPr>
              <w:spacing w:line="320" w:lineRule="exact"/>
              <w:rPr>
                <w:rFonts w:hint="eastAsia" w:ascii="仿宋" w:hAnsi="仿宋" w:eastAsia="仿宋"/>
                <w:b w:val="0"/>
                <w:bCs/>
                <w:szCs w:val="21"/>
                <w:lang w:val="en-US" w:eastAsia="zh-CN"/>
              </w:rPr>
            </w:pPr>
          </w:p>
        </w:tc>
        <w:tc>
          <w:tcPr>
            <w:tcW w:w="1198" w:type="dxa"/>
            <w:vMerge w:val="continue"/>
            <w:tcBorders/>
          </w:tcPr>
          <w:p w14:paraId="19622E70">
            <w:pPr>
              <w:spacing w:line="320" w:lineRule="exact"/>
              <w:rPr>
                <w:rFonts w:hint="eastAsia" w:ascii="仿宋" w:hAnsi="仿宋" w:eastAsia="仿宋"/>
                <w:b/>
                <w:bCs w:val="0"/>
                <w:sz w:val="24"/>
                <w:szCs w:val="24"/>
                <w:lang w:val="en-US" w:eastAsia="zh-CN"/>
              </w:rPr>
            </w:pPr>
          </w:p>
        </w:tc>
        <w:tc>
          <w:tcPr>
            <w:tcW w:w="3395" w:type="dxa"/>
          </w:tcPr>
          <w:p w14:paraId="0029A36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10.供应商须在</w:t>
            </w:r>
            <w:r>
              <w:rPr>
                <w:rFonts w:hint="default" w:ascii="仿宋" w:hAnsi="仿宋" w:eastAsia="仿宋" w:cs="仿宋"/>
                <w:b w:val="0"/>
                <w:bCs/>
                <w:kern w:val="2"/>
                <w:sz w:val="21"/>
                <w:szCs w:val="21"/>
                <w:lang w:val="en-US" w:eastAsia="zh-CN" w:bidi="ar-SA"/>
              </w:rPr>
              <w:t>约定时间内缴纳电费，如未按时缴纳相关费用，经双方协商，</w:t>
            </w:r>
            <w:r>
              <w:rPr>
                <w:rFonts w:hint="eastAsia" w:ascii="仿宋" w:hAnsi="仿宋" w:eastAsia="仿宋" w:cs="仿宋"/>
                <w:b w:val="0"/>
                <w:bCs/>
                <w:kern w:val="2"/>
                <w:sz w:val="21"/>
                <w:szCs w:val="21"/>
                <w:lang w:val="en-US" w:eastAsia="zh-CN" w:bidi="ar-SA"/>
              </w:rPr>
              <w:t>采购人</w:t>
            </w:r>
            <w:r>
              <w:rPr>
                <w:rFonts w:hint="default" w:ascii="仿宋" w:hAnsi="仿宋" w:eastAsia="仿宋" w:cs="仿宋"/>
                <w:b w:val="0"/>
                <w:bCs/>
                <w:kern w:val="2"/>
                <w:sz w:val="21"/>
                <w:szCs w:val="21"/>
                <w:lang w:val="en-US" w:eastAsia="zh-CN" w:bidi="ar-SA"/>
              </w:rPr>
              <w:t>有权解除合同，并要求</w:t>
            </w:r>
            <w:r>
              <w:rPr>
                <w:rFonts w:hint="eastAsia" w:ascii="仿宋" w:hAnsi="仿宋" w:eastAsia="仿宋" w:cs="仿宋"/>
                <w:b w:val="0"/>
                <w:bCs/>
                <w:kern w:val="2"/>
                <w:sz w:val="21"/>
                <w:szCs w:val="21"/>
                <w:lang w:val="en-US" w:eastAsia="zh-CN" w:bidi="ar-SA"/>
              </w:rPr>
              <w:t>供应商</w:t>
            </w:r>
            <w:r>
              <w:rPr>
                <w:rFonts w:hint="default" w:ascii="仿宋" w:hAnsi="仿宋" w:eastAsia="仿宋" w:cs="仿宋"/>
                <w:b w:val="0"/>
                <w:bCs/>
                <w:kern w:val="2"/>
                <w:sz w:val="21"/>
                <w:szCs w:val="21"/>
                <w:lang w:val="en-US" w:eastAsia="zh-CN" w:bidi="ar-SA"/>
              </w:rPr>
              <w:t>拆除充电设备，恢复场地原貌，并补缴所欠费用。</w:t>
            </w:r>
          </w:p>
        </w:tc>
        <w:tc>
          <w:tcPr>
            <w:tcW w:w="835" w:type="dxa"/>
          </w:tcPr>
          <w:p w14:paraId="22C3A80B">
            <w:pPr>
              <w:spacing w:line="320" w:lineRule="exact"/>
              <w:rPr>
                <w:rFonts w:ascii="仿宋" w:hAnsi="仿宋" w:eastAsia="仿宋"/>
                <w:b w:val="0"/>
                <w:bCs/>
                <w:szCs w:val="21"/>
              </w:rPr>
            </w:pPr>
          </w:p>
        </w:tc>
        <w:tc>
          <w:tcPr>
            <w:tcW w:w="1275" w:type="dxa"/>
          </w:tcPr>
          <w:p w14:paraId="36CEEEC8">
            <w:pPr>
              <w:spacing w:line="320" w:lineRule="exact"/>
              <w:rPr>
                <w:rFonts w:hint="eastAsia" w:ascii="仿宋" w:hAnsi="仿宋" w:eastAsia="仿宋"/>
                <w:b w:val="0"/>
                <w:bCs/>
                <w:szCs w:val="21"/>
                <w:lang w:val="en-US" w:eastAsia="zh-CN"/>
              </w:rPr>
            </w:pPr>
          </w:p>
        </w:tc>
        <w:tc>
          <w:tcPr>
            <w:tcW w:w="660" w:type="dxa"/>
          </w:tcPr>
          <w:p w14:paraId="564A9065">
            <w:pPr>
              <w:spacing w:line="320" w:lineRule="exact"/>
              <w:rPr>
                <w:rFonts w:ascii="仿宋" w:hAnsi="仿宋" w:eastAsia="仿宋"/>
                <w:b w:val="0"/>
                <w:bCs/>
                <w:szCs w:val="21"/>
              </w:rPr>
            </w:pPr>
          </w:p>
        </w:tc>
        <w:tc>
          <w:tcPr>
            <w:tcW w:w="1422" w:type="dxa"/>
          </w:tcPr>
          <w:p w14:paraId="33039BBD">
            <w:pPr>
              <w:spacing w:line="320" w:lineRule="exact"/>
              <w:rPr>
                <w:rFonts w:ascii="仿宋" w:hAnsi="仿宋" w:eastAsia="仿宋"/>
                <w:b w:val="0"/>
                <w:bCs/>
                <w:szCs w:val="21"/>
              </w:rPr>
            </w:pPr>
          </w:p>
        </w:tc>
      </w:tr>
      <w:tr w14:paraId="1EA52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Borders/>
          </w:tcPr>
          <w:p w14:paraId="4746DD5F">
            <w:pPr>
              <w:spacing w:line="320" w:lineRule="exact"/>
              <w:rPr>
                <w:rFonts w:hint="eastAsia" w:ascii="仿宋" w:hAnsi="仿宋" w:eastAsia="仿宋"/>
                <w:b w:val="0"/>
                <w:bCs/>
                <w:szCs w:val="21"/>
                <w:lang w:val="en-US" w:eastAsia="zh-CN"/>
              </w:rPr>
            </w:pPr>
          </w:p>
        </w:tc>
        <w:tc>
          <w:tcPr>
            <w:tcW w:w="1198" w:type="dxa"/>
            <w:vMerge w:val="continue"/>
            <w:tcBorders/>
          </w:tcPr>
          <w:p w14:paraId="72309A18">
            <w:pPr>
              <w:spacing w:line="320" w:lineRule="exact"/>
              <w:rPr>
                <w:rFonts w:hint="eastAsia" w:ascii="仿宋" w:hAnsi="仿宋" w:eastAsia="仿宋"/>
                <w:b/>
                <w:bCs w:val="0"/>
                <w:sz w:val="24"/>
                <w:szCs w:val="24"/>
                <w:lang w:val="en-US" w:eastAsia="zh-CN"/>
              </w:rPr>
            </w:pPr>
          </w:p>
        </w:tc>
        <w:tc>
          <w:tcPr>
            <w:tcW w:w="3395" w:type="dxa"/>
          </w:tcPr>
          <w:p w14:paraId="1D1E243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11.</w:t>
            </w:r>
            <w:r>
              <w:rPr>
                <w:rFonts w:hint="default" w:ascii="仿宋" w:hAnsi="仿宋" w:eastAsia="仿宋" w:cs="仿宋"/>
                <w:b w:val="0"/>
                <w:bCs/>
                <w:kern w:val="2"/>
                <w:sz w:val="21"/>
                <w:szCs w:val="21"/>
                <w:lang w:val="en-US" w:eastAsia="zh-CN" w:bidi="ar-SA"/>
              </w:rPr>
              <w:t>合同期满，</w:t>
            </w:r>
            <w:r>
              <w:rPr>
                <w:rFonts w:hint="eastAsia" w:ascii="仿宋" w:hAnsi="仿宋" w:eastAsia="仿宋" w:cs="仿宋"/>
                <w:b w:val="0"/>
                <w:bCs/>
                <w:kern w:val="2"/>
                <w:sz w:val="21"/>
                <w:szCs w:val="21"/>
                <w:lang w:val="en-US" w:eastAsia="zh-CN" w:bidi="ar-SA"/>
              </w:rPr>
              <w:t>供应商</w:t>
            </w:r>
            <w:r>
              <w:rPr>
                <w:rFonts w:hint="default" w:ascii="仿宋" w:hAnsi="仿宋" w:eastAsia="仿宋" w:cs="仿宋"/>
                <w:b w:val="0"/>
                <w:bCs/>
                <w:kern w:val="2"/>
                <w:sz w:val="21"/>
                <w:szCs w:val="21"/>
                <w:lang w:val="en-US" w:eastAsia="zh-CN" w:bidi="ar-SA"/>
              </w:rPr>
              <w:t>需拆除充电设备，恢复场地原貌。</w:t>
            </w:r>
          </w:p>
        </w:tc>
        <w:tc>
          <w:tcPr>
            <w:tcW w:w="835" w:type="dxa"/>
          </w:tcPr>
          <w:p w14:paraId="1532DF5F">
            <w:pPr>
              <w:spacing w:line="320" w:lineRule="exact"/>
              <w:rPr>
                <w:rFonts w:ascii="仿宋" w:hAnsi="仿宋" w:eastAsia="仿宋"/>
                <w:b w:val="0"/>
                <w:bCs/>
                <w:szCs w:val="21"/>
              </w:rPr>
            </w:pPr>
          </w:p>
        </w:tc>
        <w:tc>
          <w:tcPr>
            <w:tcW w:w="1275" w:type="dxa"/>
          </w:tcPr>
          <w:p w14:paraId="7C05B886">
            <w:pPr>
              <w:spacing w:line="320" w:lineRule="exact"/>
              <w:rPr>
                <w:rFonts w:hint="eastAsia" w:ascii="仿宋" w:hAnsi="仿宋" w:eastAsia="仿宋"/>
                <w:b w:val="0"/>
                <w:bCs/>
                <w:szCs w:val="21"/>
                <w:lang w:val="en-US" w:eastAsia="zh-CN"/>
              </w:rPr>
            </w:pPr>
          </w:p>
        </w:tc>
        <w:tc>
          <w:tcPr>
            <w:tcW w:w="660" w:type="dxa"/>
          </w:tcPr>
          <w:p w14:paraId="5E516DED">
            <w:pPr>
              <w:spacing w:line="320" w:lineRule="exact"/>
              <w:rPr>
                <w:rFonts w:ascii="仿宋" w:hAnsi="仿宋" w:eastAsia="仿宋"/>
                <w:b w:val="0"/>
                <w:bCs/>
                <w:szCs w:val="21"/>
              </w:rPr>
            </w:pPr>
          </w:p>
        </w:tc>
        <w:tc>
          <w:tcPr>
            <w:tcW w:w="1422" w:type="dxa"/>
          </w:tcPr>
          <w:p w14:paraId="421285CC">
            <w:pPr>
              <w:spacing w:line="320" w:lineRule="exact"/>
              <w:rPr>
                <w:rFonts w:ascii="仿宋" w:hAnsi="仿宋" w:eastAsia="仿宋"/>
                <w:b w:val="0"/>
                <w:bCs/>
                <w:szCs w:val="21"/>
              </w:rPr>
            </w:pPr>
          </w:p>
        </w:tc>
      </w:tr>
      <w:tr w14:paraId="59ADE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7" w:hRule="atLeast"/>
        </w:trPr>
        <w:tc>
          <w:tcPr>
            <w:tcW w:w="633" w:type="dxa"/>
            <w:vMerge w:val="continue"/>
            <w:tcBorders/>
          </w:tcPr>
          <w:p w14:paraId="7948AAA5">
            <w:pPr>
              <w:spacing w:line="320" w:lineRule="exact"/>
              <w:rPr>
                <w:rFonts w:hint="eastAsia" w:ascii="仿宋" w:hAnsi="仿宋" w:eastAsia="仿宋"/>
                <w:b w:val="0"/>
                <w:bCs/>
                <w:szCs w:val="21"/>
                <w:lang w:val="en-US" w:eastAsia="zh-CN"/>
              </w:rPr>
            </w:pPr>
          </w:p>
        </w:tc>
        <w:tc>
          <w:tcPr>
            <w:tcW w:w="1198" w:type="dxa"/>
            <w:vMerge w:val="continue"/>
            <w:tcBorders/>
          </w:tcPr>
          <w:p w14:paraId="57BE3790">
            <w:pPr>
              <w:spacing w:line="320" w:lineRule="exact"/>
              <w:rPr>
                <w:rFonts w:hint="eastAsia" w:ascii="仿宋" w:hAnsi="仿宋" w:eastAsia="仿宋"/>
                <w:b/>
                <w:bCs w:val="0"/>
                <w:sz w:val="24"/>
                <w:szCs w:val="24"/>
                <w:lang w:val="en-US" w:eastAsia="zh-CN"/>
              </w:rPr>
            </w:pPr>
          </w:p>
        </w:tc>
        <w:tc>
          <w:tcPr>
            <w:tcW w:w="3395" w:type="dxa"/>
          </w:tcPr>
          <w:p w14:paraId="0B2F5CB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12.供应商</w:t>
            </w:r>
            <w:r>
              <w:rPr>
                <w:rFonts w:hint="default" w:ascii="仿宋" w:hAnsi="仿宋" w:eastAsia="仿宋" w:cs="仿宋"/>
                <w:b w:val="0"/>
                <w:bCs/>
                <w:kern w:val="2"/>
                <w:sz w:val="21"/>
                <w:szCs w:val="21"/>
                <w:lang w:val="en-US" w:eastAsia="zh-CN" w:bidi="ar-SA"/>
              </w:rPr>
              <w:t>安装工程竣工后投入使用前应向</w:t>
            </w:r>
            <w:r>
              <w:rPr>
                <w:rFonts w:hint="eastAsia" w:ascii="仿宋" w:hAnsi="仿宋" w:eastAsia="仿宋" w:cs="仿宋"/>
                <w:b w:val="0"/>
                <w:bCs/>
                <w:kern w:val="2"/>
                <w:sz w:val="21"/>
                <w:szCs w:val="21"/>
                <w:lang w:val="en-US" w:eastAsia="zh-CN" w:bidi="ar-SA"/>
              </w:rPr>
              <w:t>采购人</w:t>
            </w:r>
            <w:r>
              <w:rPr>
                <w:rFonts w:hint="default" w:ascii="仿宋" w:hAnsi="仿宋" w:eastAsia="仿宋" w:cs="仿宋"/>
                <w:b w:val="0"/>
                <w:bCs/>
                <w:kern w:val="2"/>
                <w:sz w:val="21"/>
                <w:szCs w:val="21"/>
                <w:lang w:val="en-US" w:eastAsia="zh-CN" w:bidi="ar-SA"/>
              </w:rPr>
              <w:t>提交书面的竣工安全合格资料等档案原件，确保使用的设备为安全合格可以正常使用的用电设备。</w:t>
            </w:r>
          </w:p>
        </w:tc>
        <w:tc>
          <w:tcPr>
            <w:tcW w:w="835" w:type="dxa"/>
          </w:tcPr>
          <w:p w14:paraId="46CA2A72">
            <w:pPr>
              <w:spacing w:line="320" w:lineRule="exact"/>
              <w:rPr>
                <w:rFonts w:ascii="仿宋" w:hAnsi="仿宋" w:eastAsia="仿宋"/>
                <w:b w:val="0"/>
                <w:bCs/>
                <w:szCs w:val="21"/>
              </w:rPr>
            </w:pPr>
          </w:p>
        </w:tc>
        <w:tc>
          <w:tcPr>
            <w:tcW w:w="1275" w:type="dxa"/>
          </w:tcPr>
          <w:p w14:paraId="5C2A9E4F">
            <w:pPr>
              <w:spacing w:line="320" w:lineRule="exact"/>
              <w:rPr>
                <w:rFonts w:hint="eastAsia" w:ascii="仿宋" w:hAnsi="仿宋" w:eastAsia="仿宋"/>
                <w:b w:val="0"/>
                <w:bCs/>
                <w:szCs w:val="21"/>
                <w:lang w:val="en-US" w:eastAsia="zh-CN"/>
              </w:rPr>
            </w:pPr>
          </w:p>
        </w:tc>
        <w:tc>
          <w:tcPr>
            <w:tcW w:w="660" w:type="dxa"/>
          </w:tcPr>
          <w:p w14:paraId="5BE76E71">
            <w:pPr>
              <w:spacing w:line="320" w:lineRule="exact"/>
              <w:rPr>
                <w:rFonts w:ascii="仿宋" w:hAnsi="仿宋" w:eastAsia="仿宋"/>
                <w:b w:val="0"/>
                <w:bCs/>
                <w:szCs w:val="21"/>
              </w:rPr>
            </w:pPr>
          </w:p>
        </w:tc>
        <w:tc>
          <w:tcPr>
            <w:tcW w:w="1422" w:type="dxa"/>
          </w:tcPr>
          <w:p w14:paraId="2D0DFDE1">
            <w:pPr>
              <w:spacing w:line="320" w:lineRule="exact"/>
              <w:rPr>
                <w:rFonts w:ascii="仿宋" w:hAnsi="仿宋" w:eastAsia="仿宋"/>
                <w:b w:val="0"/>
                <w:bCs/>
                <w:szCs w:val="21"/>
              </w:rPr>
            </w:pPr>
          </w:p>
        </w:tc>
      </w:tr>
      <w:tr w14:paraId="5478CE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2" w:hRule="atLeast"/>
        </w:trPr>
        <w:tc>
          <w:tcPr>
            <w:tcW w:w="633" w:type="dxa"/>
            <w:vMerge w:val="restart"/>
          </w:tcPr>
          <w:p w14:paraId="16A6903D">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1198" w:type="dxa"/>
            <w:vMerge w:val="restart"/>
          </w:tcPr>
          <w:p w14:paraId="5E19A0DB">
            <w:pPr>
              <w:spacing w:line="320" w:lineRule="exact"/>
              <w:rPr>
                <w:rFonts w:hint="default" w:ascii="仿宋" w:hAnsi="仿宋" w:eastAsia="仿宋"/>
                <w:b/>
                <w:bCs w:val="0"/>
                <w:sz w:val="24"/>
                <w:szCs w:val="24"/>
                <w:lang w:val="en-US" w:eastAsia="zh-CN"/>
              </w:rPr>
            </w:pPr>
            <w:r>
              <w:rPr>
                <w:rFonts w:hint="eastAsia" w:ascii="仿宋" w:hAnsi="仿宋" w:eastAsia="仿宋"/>
                <w:b/>
                <w:bCs w:val="0"/>
                <w:sz w:val="24"/>
                <w:szCs w:val="24"/>
                <w:lang w:val="en-US" w:eastAsia="zh-CN"/>
              </w:rPr>
              <w:t>四、收益分配要求</w:t>
            </w:r>
          </w:p>
        </w:tc>
        <w:tc>
          <w:tcPr>
            <w:tcW w:w="3395" w:type="dxa"/>
          </w:tcPr>
          <w:p w14:paraId="6814470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val="0"/>
                <w:kern w:val="2"/>
                <w:sz w:val="21"/>
                <w:szCs w:val="21"/>
                <w:lang w:val="en-US" w:eastAsia="zh-CN" w:bidi="ar-SA"/>
              </w:rPr>
            </w:pPr>
            <w:r>
              <w:rPr>
                <w:rFonts w:hint="eastAsia" w:ascii="仿宋" w:hAnsi="仿宋" w:eastAsia="仿宋" w:cs="仿宋"/>
                <w:b/>
                <w:bCs w:val="0"/>
                <w:kern w:val="2"/>
                <w:sz w:val="21"/>
                <w:szCs w:val="21"/>
                <w:lang w:val="en-US" w:eastAsia="zh-CN" w:bidi="ar-SA"/>
              </w:rPr>
              <w:t>1.充电业务产生的总营业额统计办法：</w:t>
            </w:r>
          </w:p>
          <w:p w14:paraId="6A61439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根据供应商充电桩智能管理平台（系统）上的经营数据进行统计，智能管理平台（系统）账号和权限对采购人开放，以便随时查看。总营业额、电费、服务费等经营数据双方均可见，供应商统计后由采购人核对，双方共同签字确认。</w:t>
            </w:r>
          </w:p>
          <w:p w14:paraId="0019D8D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kern w:val="2"/>
                <w:sz w:val="21"/>
                <w:szCs w:val="21"/>
                <w:lang w:val="en-US" w:eastAsia="zh-CN" w:bidi="ar-SA"/>
              </w:rPr>
            </w:pPr>
          </w:p>
        </w:tc>
        <w:tc>
          <w:tcPr>
            <w:tcW w:w="835" w:type="dxa"/>
          </w:tcPr>
          <w:p w14:paraId="0C504B30">
            <w:pPr>
              <w:spacing w:line="320" w:lineRule="exact"/>
              <w:rPr>
                <w:rFonts w:ascii="仿宋" w:hAnsi="仿宋" w:eastAsia="仿宋"/>
                <w:b w:val="0"/>
                <w:bCs/>
                <w:szCs w:val="21"/>
              </w:rPr>
            </w:pPr>
          </w:p>
        </w:tc>
        <w:tc>
          <w:tcPr>
            <w:tcW w:w="1275" w:type="dxa"/>
          </w:tcPr>
          <w:p w14:paraId="772E51DF">
            <w:pPr>
              <w:spacing w:line="320" w:lineRule="exact"/>
              <w:rPr>
                <w:rFonts w:hint="eastAsia" w:ascii="仿宋" w:hAnsi="仿宋" w:eastAsia="仿宋"/>
                <w:b w:val="0"/>
                <w:bCs/>
                <w:szCs w:val="21"/>
                <w:lang w:val="en-US" w:eastAsia="zh-CN"/>
              </w:rPr>
            </w:pPr>
          </w:p>
        </w:tc>
        <w:tc>
          <w:tcPr>
            <w:tcW w:w="660" w:type="dxa"/>
          </w:tcPr>
          <w:p w14:paraId="2B347295">
            <w:pPr>
              <w:spacing w:line="320" w:lineRule="exact"/>
              <w:rPr>
                <w:rFonts w:ascii="仿宋" w:hAnsi="仿宋" w:eastAsia="仿宋"/>
                <w:b w:val="0"/>
                <w:bCs/>
                <w:szCs w:val="21"/>
              </w:rPr>
            </w:pPr>
          </w:p>
        </w:tc>
        <w:tc>
          <w:tcPr>
            <w:tcW w:w="1422" w:type="dxa"/>
          </w:tcPr>
          <w:p w14:paraId="7F95434A">
            <w:pPr>
              <w:spacing w:line="320" w:lineRule="exact"/>
              <w:rPr>
                <w:rFonts w:ascii="仿宋" w:hAnsi="仿宋" w:eastAsia="仿宋"/>
                <w:b w:val="0"/>
                <w:bCs/>
                <w:szCs w:val="21"/>
              </w:rPr>
            </w:pPr>
          </w:p>
        </w:tc>
      </w:tr>
      <w:tr w14:paraId="4783F6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2E637225">
            <w:pPr>
              <w:spacing w:line="320" w:lineRule="exact"/>
              <w:rPr>
                <w:rFonts w:hint="eastAsia" w:ascii="仿宋" w:hAnsi="仿宋" w:eastAsia="仿宋"/>
                <w:b w:val="0"/>
                <w:bCs/>
                <w:szCs w:val="21"/>
                <w:lang w:val="en-US" w:eastAsia="zh-CN"/>
              </w:rPr>
            </w:pPr>
          </w:p>
        </w:tc>
        <w:tc>
          <w:tcPr>
            <w:tcW w:w="1198" w:type="dxa"/>
            <w:vMerge w:val="continue"/>
          </w:tcPr>
          <w:p w14:paraId="3A4D7D14">
            <w:pPr>
              <w:spacing w:line="320" w:lineRule="exact"/>
              <w:rPr>
                <w:rFonts w:hint="eastAsia" w:ascii="仿宋" w:hAnsi="仿宋" w:eastAsia="仿宋"/>
                <w:b/>
                <w:bCs w:val="0"/>
                <w:sz w:val="24"/>
                <w:szCs w:val="24"/>
                <w:lang w:val="en-US" w:eastAsia="zh-CN"/>
              </w:rPr>
            </w:pPr>
          </w:p>
        </w:tc>
        <w:tc>
          <w:tcPr>
            <w:tcW w:w="3395" w:type="dxa"/>
          </w:tcPr>
          <w:p w14:paraId="0E011B4E">
            <w:pPr>
              <w:keepNext w:val="0"/>
              <w:keepLines w:val="0"/>
              <w:pageBreakBefore w:val="0"/>
              <w:widowControl w:val="0"/>
              <w:numPr>
                <w:ilvl w:val="0"/>
                <w:numId w:val="3"/>
              </w:numPr>
              <w:kinsoku/>
              <w:wordWrap/>
              <w:overflowPunct/>
              <w:topLinePunct w:val="0"/>
              <w:autoSpaceDE/>
              <w:autoSpaceDN/>
              <w:bidi w:val="0"/>
              <w:adjustRightInd/>
              <w:snapToGrid/>
              <w:jc w:val="both"/>
              <w:textAlignment w:val="auto"/>
              <w:rPr>
                <w:rFonts w:hint="eastAsia" w:ascii="仿宋" w:hAnsi="仿宋" w:eastAsia="仿宋" w:cs="仿宋"/>
                <w:b/>
                <w:bCs w:val="0"/>
                <w:kern w:val="2"/>
                <w:sz w:val="21"/>
                <w:szCs w:val="21"/>
                <w:lang w:val="en-US" w:eastAsia="zh-CN" w:bidi="ar-SA"/>
              </w:rPr>
            </w:pPr>
            <w:r>
              <w:rPr>
                <w:rFonts w:hint="eastAsia" w:ascii="仿宋" w:hAnsi="仿宋" w:eastAsia="仿宋" w:cs="仿宋"/>
                <w:b/>
                <w:bCs w:val="0"/>
                <w:kern w:val="2"/>
                <w:sz w:val="21"/>
                <w:szCs w:val="21"/>
                <w:lang w:val="en-US" w:eastAsia="zh-CN" w:bidi="ar-SA"/>
              </w:rPr>
              <w:t>电费：</w:t>
            </w:r>
          </w:p>
          <w:p w14:paraId="4390DE5F">
            <w:pPr>
              <w:keepNext w:val="0"/>
              <w:keepLines w:val="0"/>
              <w:pageBreakBefore w:val="0"/>
              <w:widowControl w:val="0"/>
              <w:numPr>
                <w:numId w:val="0"/>
              </w:numPr>
              <w:kinsoku/>
              <w:wordWrap/>
              <w:overflowPunct/>
              <w:topLinePunct w:val="0"/>
              <w:autoSpaceDE/>
              <w:autoSpaceDN/>
              <w:bidi w:val="0"/>
              <w:adjustRightInd/>
              <w:snapToGrid/>
              <w:jc w:val="both"/>
              <w:textAlignment w:val="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供应商单独挂多功能电表计费，执行国网统一分时电价，如遇国网电价调整，则相应调整计费。须按时向采购人缴纳电费，每季度预交一定电费（预交标准依据试运行数据测算后确定），电费年终进行据实决算。</w:t>
            </w:r>
          </w:p>
          <w:p w14:paraId="6FA7E0C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kern w:val="2"/>
                <w:sz w:val="21"/>
                <w:szCs w:val="21"/>
                <w:lang w:val="en-US" w:eastAsia="zh-CN" w:bidi="ar-SA"/>
              </w:rPr>
            </w:pPr>
          </w:p>
        </w:tc>
        <w:tc>
          <w:tcPr>
            <w:tcW w:w="835" w:type="dxa"/>
          </w:tcPr>
          <w:p w14:paraId="428EB8F5">
            <w:pPr>
              <w:spacing w:line="320" w:lineRule="exact"/>
              <w:rPr>
                <w:rFonts w:ascii="仿宋" w:hAnsi="仿宋" w:eastAsia="仿宋"/>
                <w:b w:val="0"/>
                <w:bCs/>
                <w:szCs w:val="21"/>
              </w:rPr>
            </w:pPr>
          </w:p>
        </w:tc>
        <w:tc>
          <w:tcPr>
            <w:tcW w:w="1275" w:type="dxa"/>
          </w:tcPr>
          <w:p w14:paraId="231D96AB">
            <w:pPr>
              <w:spacing w:line="320" w:lineRule="exact"/>
              <w:rPr>
                <w:rFonts w:hint="eastAsia" w:ascii="仿宋" w:hAnsi="仿宋" w:eastAsia="仿宋"/>
                <w:b w:val="0"/>
                <w:bCs/>
                <w:szCs w:val="21"/>
                <w:lang w:val="en-US" w:eastAsia="zh-CN"/>
              </w:rPr>
            </w:pPr>
          </w:p>
        </w:tc>
        <w:tc>
          <w:tcPr>
            <w:tcW w:w="660" w:type="dxa"/>
          </w:tcPr>
          <w:p w14:paraId="0A8CAF9A">
            <w:pPr>
              <w:spacing w:line="320" w:lineRule="exact"/>
              <w:rPr>
                <w:rFonts w:ascii="仿宋" w:hAnsi="仿宋" w:eastAsia="仿宋"/>
                <w:b w:val="0"/>
                <w:bCs/>
                <w:szCs w:val="21"/>
              </w:rPr>
            </w:pPr>
          </w:p>
        </w:tc>
        <w:tc>
          <w:tcPr>
            <w:tcW w:w="1422" w:type="dxa"/>
          </w:tcPr>
          <w:p w14:paraId="675566EF">
            <w:pPr>
              <w:spacing w:line="320" w:lineRule="exact"/>
              <w:rPr>
                <w:rFonts w:ascii="仿宋" w:hAnsi="仿宋" w:eastAsia="仿宋"/>
                <w:b w:val="0"/>
                <w:bCs/>
                <w:szCs w:val="21"/>
              </w:rPr>
            </w:pPr>
          </w:p>
        </w:tc>
      </w:tr>
      <w:tr w14:paraId="639994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2" w:hRule="atLeast"/>
        </w:trPr>
        <w:tc>
          <w:tcPr>
            <w:tcW w:w="633" w:type="dxa"/>
            <w:vMerge w:val="continue"/>
          </w:tcPr>
          <w:p w14:paraId="1DEF7319">
            <w:pPr>
              <w:spacing w:line="320" w:lineRule="exact"/>
              <w:rPr>
                <w:rFonts w:hint="eastAsia" w:ascii="仿宋" w:hAnsi="仿宋" w:eastAsia="仿宋"/>
                <w:b w:val="0"/>
                <w:bCs/>
                <w:szCs w:val="21"/>
                <w:lang w:val="en-US" w:eastAsia="zh-CN"/>
              </w:rPr>
            </w:pPr>
          </w:p>
        </w:tc>
        <w:tc>
          <w:tcPr>
            <w:tcW w:w="1198" w:type="dxa"/>
            <w:vMerge w:val="continue"/>
          </w:tcPr>
          <w:p w14:paraId="3B4273C0">
            <w:pPr>
              <w:spacing w:line="320" w:lineRule="exact"/>
              <w:rPr>
                <w:rFonts w:hint="eastAsia" w:ascii="仿宋" w:hAnsi="仿宋" w:eastAsia="仿宋"/>
                <w:b/>
                <w:bCs w:val="0"/>
                <w:sz w:val="24"/>
                <w:szCs w:val="24"/>
                <w:lang w:val="en-US" w:eastAsia="zh-CN"/>
              </w:rPr>
            </w:pPr>
          </w:p>
        </w:tc>
        <w:tc>
          <w:tcPr>
            <w:tcW w:w="3395" w:type="dxa"/>
          </w:tcPr>
          <w:p w14:paraId="1E5664B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bCs w:val="0"/>
                <w:kern w:val="2"/>
                <w:sz w:val="21"/>
                <w:szCs w:val="21"/>
                <w:lang w:val="en-US" w:eastAsia="zh-CN" w:bidi="ar-SA"/>
              </w:rPr>
            </w:pPr>
            <w:r>
              <w:rPr>
                <w:rFonts w:hint="eastAsia" w:ascii="仿宋" w:hAnsi="仿宋" w:eastAsia="仿宋" w:cs="仿宋"/>
                <w:b/>
                <w:bCs w:val="0"/>
                <w:kern w:val="2"/>
                <w:sz w:val="21"/>
                <w:szCs w:val="21"/>
                <w:lang w:val="en-US" w:eastAsia="zh-CN" w:bidi="ar-SA"/>
              </w:rPr>
              <w:t>3.充电桩投入运营后，对充电业务产生的年总营业额去除年总电费后的年总营业利润，采购人享有不低于10%比例的分成，供应商享有不高于90%比例的分成，采购人享有的营业利润按照合同约定比例进行兑现，每年12月15日汇入采购人指定的银行账户。</w:t>
            </w:r>
          </w:p>
          <w:p w14:paraId="34ECB48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b w:val="0"/>
                <w:bCs/>
                <w:kern w:val="2"/>
                <w:sz w:val="21"/>
                <w:szCs w:val="21"/>
                <w:lang w:val="en-US" w:eastAsia="zh-CN" w:bidi="ar-SA"/>
              </w:rPr>
            </w:pPr>
          </w:p>
        </w:tc>
        <w:tc>
          <w:tcPr>
            <w:tcW w:w="835" w:type="dxa"/>
          </w:tcPr>
          <w:p w14:paraId="7DBD80A3">
            <w:pPr>
              <w:spacing w:line="320" w:lineRule="exact"/>
              <w:rPr>
                <w:rFonts w:ascii="仿宋" w:hAnsi="仿宋" w:eastAsia="仿宋"/>
                <w:b w:val="0"/>
                <w:bCs/>
                <w:szCs w:val="21"/>
              </w:rPr>
            </w:pPr>
          </w:p>
        </w:tc>
        <w:tc>
          <w:tcPr>
            <w:tcW w:w="1275" w:type="dxa"/>
          </w:tcPr>
          <w:p w14:paraId="3786DC8A">
            <w:pPr>
              <w:spacing w:line="320" w:lineRule="exact"/>
              <w:rPr>
                <w:rFonts w:hint="eastAsia" w:ascii="仿宋" w:hAnsi="仿宋" w:eastAsia="仿宋"/>
                <w:b w:val="0"/>
                <w:bCs/>
                <w:szCs w:val="21"/>
                <w:lang w:val="en-US" w:eastAsia="zh-CN"/>
              </w:rPr>
            </w:pPr>
          </w:p>
        </w:tc>
        <w:tc>
          <w:tcPr>
            <w:tcW w:w="660" w:type="dxa"/>
          </w:tcPr>
          <w:p w14:paraId="13858B55">
            <w:pPr>
              <w:spacing w:line="320" w:lineRule="exact"/>
              <w:rPr>
                <w:rFonts w:ascii="仿宋" w:hAnsi="仿宋" w:eastAsia="仿宋"/>
                <w:b w:val="0"/>
                <w:bCs/>
                <w:szCs w:val="21"/>
              </w:rPr>
            </w:pPr>
          </w:p>
        </w:tc>
        <w:tc>
          <w:tcPr>
            <w:tcW w:w="1422" w:type="dxa"/>
          </w:tcPr>
          <w:p w14:paraId="16972398">
            <w:pPr>
              <w:spacing w:line="320" w:lineRule="exact"/>
              <w:rPr>
                <w:rFonts w:ascii="仿宋" w:hAnsi="仿宋" w:eastAsia="仿宋"/>
                <w:b w:val="0"/>
                <w:bCs/>
                <w:szCs w:val="21"/>
              </w:rPr>
            </w:pPr>
          </w:p>
        </w:tc>
      </w:tr>
    </w:tbl>
    <w:p w14:paraId="2CA1D556">
      <w:pPr>
        <w:spacing w:line="280" w:lineRule="exact"/>
        <w:rPr>
          <w:rFonts w:hint="eastAsia" w:ascii="仿宋" w:hAnsi="仿宋" w:eastAsia="仿宋"/>
          <w:szCs w:val="21"/>
        </w:rPr>
      </w:pPr>
    </w:p>
    <w:p w14:paraId="190F247A">
      <w:pPr>
        <w:spacing w:line="280" w:lineRule="exact"/>
        <w:rPr>
          <w:rFonts w:hint="eastAsia" w:ascii="仿宋" w:hAnsi="仿宋" w:eastAsia="仿宋"/>
          <w:szCs w:val="21"/>
        </w:rPr>
      </w:pPr>
      <w:bookmarkStart w:id="4" w:name="_GoBack"/>
      <w:bookmarkEnd w:id="4"/>
    </w:p>
    <w:p w14:paraId="70923B79">
      <w:pPr>
        <w:spacing w:line="320" w:lineRule="exact"/>
        <w:rPr>
          <w:rFonts w:hint="eastAsia" w:ascii="仿宋" w:hAnsi="仿宋" w:eastAsia="仿宋"/>
          <w:b/>
          <w:sz w:val="24"/>
          <w:szCs w:val="24"/>
          <w:lang w:val="en-US" w:eastAsia="zh-CN"/>
        </w:rPr>
      </w:pPr>
      <w:r>
        <w:rPr>
          <w:rFonts w:hint="eastAsia" w:ascii="仿宋" w:hAnsi="仿宋" w:eastAsia="仿宋"/>
          <w:b/>
          <w:sz w:val="24"/>
          <w:szCs w:val="24"/>
          <w:lang w:eastAsia="zh-CN"/>
        </w:rPr>
        <w:t>第</w:t>
      </w:r>
      <w:r>
        <w:rPr>
          <w:rFonts w:hint="eastAsia" w:ascii="仿宋" w:hAnsi="仿宋" w:eastAsia="仿宋"/>
          <w:b/>
          <w:sz w:val="24"/>
          <w:szCs w:val="24"/>
          <w:lang w:val="en-US" w:eastAsia="zh-CN"/>
        </w:rPr>
        <w:t>二</w:t>
      </w:r>
      <w:r>
        <w:rPr>
          <w:rFonts w:hint="eastAsia" w:ascii="仿宋" w:hAnsi="仿宋" w:eastAsia="仿宋"/>
          <w:b/>
          <w:sz w:val="24"/>
          <w:szCs w:val="24"/>
          <w:lang w:eastAsia="zh-CN"/>
        </w:rPr>
        <w:t>部分：</w:t>
      </w:r>
      <w:r>
        <w:rPr>
          <w:rFonts w:hint="eastAsia" w:ascii="仿宋" w:hAnsi="仿宋" w:eastAsia="仿宋"/>
          <w:b/>
          <w:sz w:val="24"/>
          <w:szCs w:val="24"/>
        </w:rPr>
        <w:t>拟购项目初步</w:t>
      </w:r>
      <w:r>
        <w:rPr>
          <w:rFonts w:hint="eastAsia" w:ascii="仿宋" w:hAnsi="仿宋" w:eastAsia="仿宋"/>
          <w:b/>
          <w:sz w:val="24"/>
          <w:szCs w:val="24"/>
          <w:lang w:val="en-US" w:eastAsia="zh-CN"/>
        </w:rPr>
        <w:t>报价</w:t>
      </w:r>
    </w:p>
    <w:tbl>
      <w:tblPr>
        <w:tblStyle w:val="1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3"/>
        <w:gridCol w:w="6492"/>
      </w:tblGrid>
      <w:tr w14:paraId="3827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633" w:type="dxa"/>
            <w:tcBorders>
              <w:top w:val="single" w:color="auto" w:sz="4" w:space="0"/>
              <w:bottom w:val="single" w:color="auto" w:sz="4" w:space="0"/>
            </w:tcBorders>
            <w:noWrap w:val="0"/>
            <w:vAlign w:val="center"/>
          </w:tcPr>
          <w:p w14:paraId="4F47B735">
            <w:pPr>
              <w:spacing w:line="360" w:lineRule="auto"/>
              <w:ind w:firstLine="241" w:firstLineChars="100"/>
              <w:jc w:val="both"/>
              <w:rPr>
                <w:rFonts w:hint="eastAsia" w:ascii="宋体" w:hAnsi="宋体"/>
                <w:b/>
                <w:color w:val="000000"/>
                <w:sz w:val="24"/>
              </w:rPr>
            </w:pPr>
            <w:r>
              <w:rPr>
                <w:rFonts w:hint="eastAsia" w:ascii="宋体" w:hAnsi="宋体"/>
                <w:b/>
                <w:bCs/>
                <w:color w:val="000000"/>
                <w:sz w:val="24"/>
                <w:szCs w:val="28"/>
              </w:rPr>
              <w:t>最终</w:t>
            </w:r>
            <w:r>
              <w:rPr>
                <w:rFonts w:hint="eastAsia" w:ascii="宋体" w:hAnsi="宋体"/>
                <w:b/>
                <w:bCs/>
                <w:color w:val="000000"/>
                <w:sz w:val="24"/>
                <w:szCs w:val="28"/>
                <w:lang w:eastAsia="zh-CN"/>
              </w:rPr>
              <w:t>分成比例</w:t>
            </w:r>
            <w:r>
              <w:rPr>
                <w:rFonts w:hint="eastAsia" w:ascii="宋体" w:hAnsi="宋体"/>
                <w:b/>
                <w:bCs/>
                <w:color w:val="000000"/>
                <w:sz w:val="24"/>
                <w:szCs w:val="28"/>
              </w:rPr>
              <w:t>报价</w:t>
            </w:r>
          </w:p>
        </w:tc>
        <w:tc>
          <w:tcPr>
            <w:tcW w:w="6492" w:type="dxa"/>
            <w:noWrap w:val="0"/>
            <w:vAlign w:val="center"/>
          </w:tcPr>
          <w:p w14:paraId="6B966422">
            <w:pPr>
              <w:pStyle w:val="14"/>
              <w:ind w:left="0" w:leftChars="0" w:firstLine="0" w:firstLineChars="0"/>
              <w:rPr>
                <w:rFonts w:hint="default" w:ascii="宋体" w:hAnsi="宋体" w:eastAsia="宋体"/>
                <w:bCs/>
                <w:color w:val="auto"/>
                <w:sz w:val="24"/>
                <w:highlight w:val="none"/>
                <w:u w:val="single"/>
                <w:lang w:val="en-US" w:eastAsia="zh-CN"/>
              </w:rPr>
            </w:pPr>
            <w:r>
              <w:rPr>
                <w:rFonts w:hint="eastAsia" w:ascii="仿宋" w:hAnsi="仿宋" w:eastAsia="仿宋" w:cs="仿宋"/>
                <w:b w:val="0"/>
                <w:bCs w:val="0"/>
                <w:sz w:val="28"/>
                <w:szCs w:val="28"/>
                <w:lang w:val="en-US" w:eastAsia="zh-CN"/>
              </w:rPr>
              <w:t>年营业</w:t>
            </w:r>
            <w:r>
              <w:rPr>
                <w:rFonts w:hint="eastAsia" w:ascii="仿宋" w:hAnsi="仿宋" w:eastAsia="仿宋" w:cs="仿宋"/>
                <w:color w:val="auto"/>
                <w:kern w:val="2"/>
                <w:sz w:val="28"/>
                <w:szCs w:val="28"/>
                <w:highlight w:val="none"/>
                <w:lang w:val="en-US" w:eastAsia="zh-CN" w:bidi="ar-SA"/>
              </w:rPr>
              <w:t>利润分成比例的</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 （不得低于10%）。</w:t>
            </w:r>
          </w:p>
        </w:tc>
      </w:tr>
      <w:tr w14:paraId="62A0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125" w:type="dxa"/>
            <w:gridSpan w:val="2"/>
            <w:tcBorders>
              <w:top w:val="single" w:color="auto" w:sz="4" w:space="0"/>
            </w:tcBorders>
            <w:noWrap w:val="0"/>
            <w:vAlign w:val="center"/>
          </w:tcPr>
          <w:p w14:paraId="05BAC0EC">
            <w:pPr>
              <w:snapToGrid w:val="0"/>
              <w:spacing w:line="360" w:lineRule="auto"/>
              <w:rPr>
                <w:rFonts w:hint="eastAsia" w:ascii="仿宋" w:hAnsi="仿宋" w:eastAsia="仿宋" w:cs="仿宋"/>
                <w:b w:val="0"/>
                <w:bCs w:val="0"/>
                <w:sz w:val="28"/>
                <w:szCs w:val="28"/>
                <w:lang w:val="en-US" w:eastAsia="zh-CN"/>
              </w:rPr>
            </w:pPr>
            <w:r>
              <w:rPr>
                <w:rFonts w:hint="eastAsia" w:ascii="宋体" w:hAnsi="宋体" w:eastAsia="宋体" w:cs="Times New Roman"/>
                <w:b w:val="0"/>
                <w:bCs w:val="0"/>
                <w:color w:val="auto"/>
                <w:kern w:val="2"/>
                <w:sz w:val="24"/>
                <w:szCs w:val="24"/>
                <w:highlight w:val="none"/>
                <w:lang w:val="en-US" w:eastAsia="zh-CN" w:bidi="ar-SA"/>
              </w:rPr>
              <w:t>备注：</w:t>
            </w:r>
            <w:r>
              <w:rPr>
                <w:rFonts w:hint="eastAsia" w:ascii="宋体" w:hAnsi="宋体" w:eastAsia="宋体" w:cs="Times New Roman"/>
                <w:b w:val="0"/>
                <w:bCs w:val="0"/>
                <w:color w:val="auto"/>
                <w:kern w:val="2"/>
                <w:sz w:val="28"/>
                <w:szCs w:val="28"/>
                <w:highlight w:val="none"/>
                <w:lang w:val="en-US" w:eastAsia="zh-CN" w:bidi="ar-SA"/>
              </w:rPr>
              <w:t>1.</w:t>
            </w:r>
            <w:r>
              <w:rPr>
                <w:rFonts w:hint="eastAsia" w:ascii="仿宋" w:hAnsi="仿宋" w:eastAsia="仿宋" w:cs="仿宋"/>
                <w:b w:val="0"/>
                <w:bCs w:val="0"/>
                <w:sz w:val="28"/>
                <w:szCs w:val="28"/>
                <w:lang w:val="en-US" w:eastAsia="zh-CN"/>
              </w:rPr>
              <w:t>对充电业务产生的年总营业额去除年总电费后的年总营业利润，采购人享有不低于10%比例的分成，供应商享有不高于90%比例的分成。</w:t>
            </w:r>
          </w:p>
          <w:p w14:paraId="17CAB280">
            <w:pPr>
              <w:numPr>
                <w:ilvl w:val="0"/>
                <w:numId w:val="4"/>
              </w:numPr>
              <w:snapToGrid w:val="0"/>
              <w:spacing w:line="360" w:lineRule="auto"/>
              <w:ind w:left="700" w:leftChars="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按年营业</w:t>
            </w:r>
            <w:r>
              <w:rPr>
                <w:rFonts w:hint="eastAsia" w:ascii="仿宋" w:hAnsi="仿宋" w:eastAsia="仿宋" w:cs="仿宋"/>
                <w:color w:val="auto"/>
                <w:kern w:val="2"/>
                <w:sz w:val="28"/>
                <w:szCs w:val="28"/>
                <w:highlight w:val="none"/>
                <w:lang w:val="en-US" w:eastAsia="zh-CN" w:bidi="ar-SA"/>
              </w:rPr>
              <w:t>利润</w:t>
            </w:r>
            <w:r>
              <w:rPr>
                <w:rFonts w:hint="eastAsia" w:ascii="仿宋" w:hAnsi="仿宋" w:eastAsia="仿宋" w:cs="仿宋"/>
                <w:b w:val="0"/>
                <w:bCs w:val="0"/>
                <w:sz w:val="28"/>
                <w:szCs w:val="28"/>
                <w:lang w:val="en-US" w:eastAsia="zh-CN"/>
              </w:rPr>
              <w:t>分成比例排序中标候选人，比例最高者为第一中标候选人，以此类推；当年营业</w:t>
            </w:r>
            <w:r>
              <w:rPr>
                <w:rFonts w:hint="eastAsia" w:ascii="仿宋" w:hAnsi="仿宋" w:eastAsia="仿宋" w:cs="仿宋"/>
                <w:color w:val="auto"/>
                <w:kern w:val="2"/>
                <w:sz w:val="28"/>
                <w:szCs w:val="28"/>
                <w:highlight w:val="none"/>
                <w:lang w:val="en-US" w:eastAsia="zh-CN" w:bidi="ar-SA"/>
              </w:rPr>
              <w:t>利润分成比例相同时，按承诺投入充电桩数量多少确定</w:t>
            </w:r>
            <w:r>
              <w:rPr>
                <w:rFonts w:hint="eastAsia" w:ascii="仿宋" w:hAnsi="仿宋" w:eastAsia="仿宋" w:cs="仿宋"/>
                <w:b w:val="0"/>
                <w:bCs w:val="0"/>
                <w:sz w:val="28"/>
                <w:szCs w:val="28"/>
                <w:lang w:val="en-US" w:eastAsia="zh-CN"/>
              </w:rPr>
              <w:t>候选人，数量最多者为第一中标候选人，以此类推；当</w:t>
            </w:r>
            <w:r>
              <w:rPr>
                <w:rFonts w:hint="eastAsia" w:ascii="仿宋" w:hAnsi="仿宋" w:eastAsia="仿宋" w:cs="仿宋"/>
                <w:color w:val="auto"/>
                <w:kern w:val="2"/>
                <w:sz w:val="28"/>
                <w:szCs w:val="28"/>
                <w:highlight w:val="none"/>
                <w:lang w:val="en-US" w:eastAsia="zh-CN" w:bidi="ar-SA"/>
              </w:rPr>
              <w:t>充电桩数量相同时，按承诺投入充电桩新旧程度确定</w:t>
            </w:r>
            <w:r>
              <w:rPr>
                <w:rFonts w:hint="eastAsia" w:ascii="仿宋" w:hAnsi="仿宋" w:eastAsia="仿宋" w:cs="仿宋"/>
                <w:b w:val="0"/>
                <w:bCs w:val="0"/>
                <w:sz w:val="28"/>
                <w:szCs w:val="28"/>
                <w:lang w:val="en-US" w:eastAsia="zh-CN"/>
              </w:rPr>
              <w:t>候选人，投入全新设备者为第一中标候选人。</w:t>
            </w:r>
          </w:p>
          <w:p w14:paraId="07D88E13">
            <w:pPr>
              <w:numPr>
                <w:ilvl w:val="0"/>
                <w:numId w:val="0"/>
              </w:numPr>
              <w:snapToGrid w:val="0"/>
              <w:spacing w:line="360" w:lineRule="auto"/>
              <w:ind w:firstLine="840" w:firstLineChars="3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3.仅进行一轮报价。</w:t>
            </w:r>
          </w:p>
        </w:tc>
      </w:tr>
    </w:tbl>
    <w:p w14:paraId="03896DBD">
      <w:pPr>
        <w:spacing w:line="320" w:lineRule="exact"/>
        <w:rPr>
          <w:rFonts w:hint="eastAsia" w:ascii="仿宋" w:hAnsi="仿宋" w:eastAsia="仿宋"/>
          <w:b/>
          <w:sz w:val="24"/>
          <w:szCs w:val="24"/>
          <w:lang w:val="en-US" w:eastAsia="zh-CN"/>
        </w:rPr>
      </w:pPr>
    </w:p>
    <w:p w14:paraId="35E5D31E">
      <w:pPr>
        <w:spacing w:line="520" w:lineRule="exact"/>
        <w:jc w:val="both"/>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447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25BC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25BC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abstractNum w:abstractNumId="1">
    <w:nsid w:val="2EA5BE6E"/>
    <w:multiLevelType w:val="singleLevel"/>
    <w:tmpl w:val="2EA5BE6E"/>
    <w:lvl w:ilvl="0" w:tentative="0">
      <w:start w:val="2"/>
      <w:numFmt w:val="decimal"/>
      <w:lvlText w:val="%1."/>
      <w:lvlJc w:val="left"/>
      <w:pPr>
        <w:tabs>
          <w:tab w:val="left" w:pos="312"/>
        </w:tabs>
      </w:pPr>
    </w:lvl>
  </w:abstractNum>
  <w:abstractNum w:abstractNumId="2">
    <w:nsid w:val="3E3D338F"/>
    <w:multiLevelType w:val="singleLevel"/>
    <w:tmpl w:val="3E3D338F"/>
    <w:lvl w:ilvl="0" w:tentative="0">
      <w:start w:val="1"/>
      <w:numFmt w:val="chineseCounting"/>
      <w:suff w:val="nothing"/>
      <w:lvlText w:val="%1、"/>
      <w:lvlJc w:val="left"/>
      <w:rPr>
        <w:rFonts w:hint="eastAsia"/>
      </w:rPr>
    </w:lvl>
  </w:abstractNum>
  <w:abstractNum w:abstractNumId="3">
    <w:nsid w:val="7273EA8A"/>
    <w:multiLevelType w:val="singleLevel"/>
    <w:tmpl w:val="7273EA8A"/>
    <w:lvl w:ilvl="0" w:tentative="0">
      <w:start w:val="2"/>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7140"/>
    <w:rsid w:val="00811923"/>
    <w:rsid w:val="008839C7"/>
    <w:rsid w:val="008D1090"/>
    <w:rsid w:val="008F4EAC"/>
    <w:rsid w:val="00920750"/>
    <w:rsid w:val="00921AFD"/>
    <w:rsid w:val="00927BD2"/>
    <w:rsid w:val="00A42F87"/>
    <w:rsid w:val="00A575F9"/>
    <w:rsid w:val="00A90253"/>
    <w:rsid w:val="00AB2CBB"/>
    <w:rsid w:val="00B06F22"/>
    <w:rsid w:val="00B2494E"/>
    <w:rsid w:val="00B40703"/>
    <w:rsid w:val="00B61661"/>
    <w:rsid w:val="00B67316"/>
    <w:rsid w:val="00BA055D"/>
    <w:rsid w:val="00BC7D10"/>
    <w:rsid w:val="00C30BF6"/>
    <w:rsid w:val="00D64AE1"/>
    <w:rsid w:val="00D72607"/>
    <w:rsid w:val="00D7333D"/>
    <w:rsid w:val="00D92192"/>
    <w:rsid w:val="00DC338C"/>
    <w:rsid w:val="00DD6A30"/>
    <w:rsid w:val="00DE2A72"/>
    <w:rsid w:val="00E84574"/>
    <w:rsid w:val="00F13471"/>
    <w:rsid w:val="00F258F5"/>
    <w:rsid w:val="012F41F1"/>
    <w:rsid w:val="0136557F"/>
    <w:rsid w:val="01B12E58"/>
    <w:rsid w:val="03835D4E"/>
    <w:rsid w:val="03F139E0"/>
    <w:rsid w:val="04863587"/>
    <w:rsid w:val="05500BDA"/>
    <w:rsid w:val="056B4493"/>
    <w:rsid w:val="061F7B2F"/>
    <w:rsid w:val="070B300A"/>
    <w:rsid w:val="07516B36"/>
    <w:rsid w:val="07604BD9"/>
    <w:rsid w:val="076646E5"/>
    <w:rsid w:val="07B64775"/>
    <w:rsid w:val="086F1AD4"/>
    <w:rsid w:val="089F1C5C"/>
    <w:rsid w:val="08D15B8E"/>
    <w:rsid w:val="08E51639"/>
    <w:rsid w:val="09016473"/>
    <w:rsid w:val="09152232"/>
    <w:rsid w:val="0A943317"/>
    <w:rsid w:val="0AD10AFE"/>
    <w:rsid w:val="0B6F2145"/>
    <w:rsid w:val="0B927856"/>
    <w:rsid w:val="0C50186C"/>
    <w:rsid w:val="0C880468"/>
    <w:rsid w:val="0D687700"/>
    <w:rsid w:val="0E0013EF"/>
    <w:rsid w:val="10D821AF"/>
    <w:rsid w:val="1310799E"/>
    <w:rsid w:val="139A199E"/>
    <w:rsid w:val="139C124C"/>
    <w:rsid w:val="159468C1"/>
    <w:rsid w:val="176A0F9C"/>
    <w:rsid w:val="17CC40F0"/>
    <w:rsid w:val="17D12783"/>
    <w:rsid w:val="18FE77EB"/>
    <w:rsid w:val="1B1F6C2C"/>
    <w:rsid w:val="1B7E1BA5"/>
    <w:rsid w:val="1BD01CD5"/>
    <w:rsid w:val="1C4F3541"/>
    <w:rsid w:val="1D824A33"/>
    <w:rsid w:val="1D862F93"/>
    <w:rsid w:val="1D976F4E"/>
    <w:rsid w:val="1D994A74"/>
    <w:rsid w:val="1DDE4B7D"/>
    <w:rsid w:val="1DE21356"/>
    <w:rsid w:val="1E470974"/>
    <w:rsid w:val="1E734319"/>
    <w:rsid w:val="1F140147"/>
    <w:rsid w:val="1F4F0A72"/>
    <w:rsid w:val="2031368A"/>
    <w:rsid w:val="20315438"/>
    <w:rsid w:val="20584ED7"/>
    <w:rsid w:val="20711CD8"/>
    <w:rsid w:val="212154AC"/>
    <w:rsid w:val="22AA14D2"/>
    <w:rsid w:val="23312AC9"/>
    <w:rsid w:val="239F090A"/>
    <w:rsid w:val="23FA0237"/>
    <w:rsid w:val="24547947"/>
    <w:rsid w:val="24816262"/>
    <w:rsid w:val="24823019"/>
    <w:rsid w:val="24CD09F7"/>
    <w:rsid w:val="251F7F55"/>
    <w:rsid w:val="25B34B41"/>
    <w:rsid w:val="25B71C4B"/>
    <w:rsid w:val="26151D54"/>
    <w:rsid w:val="2652435A"/>
    <w:rsid w:val="26824FFE"/>
    <w:rsid w:val="26D44584"/>
    <w:rsid w:val="27B150B0"/>
    <w:rsid w:val="27E31B46"/>
    <w:rsid w:val="27F75540"/>
    <w:rsid w:val="287131C0"/>
    <w:rsid w:val="288527C5"/>
    <w:rsid w:val="28885E11"/>
    <w:rsid w:val="28A569C3"/>
    <w:rsid w:val="28BD63A5"/>
    <w:rsid w:val="28D63020"/>
    <w:rsid w:val="296F6D42"/>
    <w:rsid w:val="2A355B25"/>
    <w:rsid w:val="2B26153D"/>
    <w:rsid w:val="2B361C7F"/>
    <w:rsid w:val="2C2B3683"/>
    <w:rsid w:val="2C385DA0"/>
    <w:rsid w:val="2D522E91"/>
    <w:rsid w:val="2D687FBF"/>
    <w:rsid w:val="2D692572"/>
    <w:rsid w:val="2DC85365"/>
    <w:rsid w:val="2E3107AB"/>
    <w:rsid w:val="2F065C15"/>
    <w:rsid w:val="2FD91648"/>
    <w:rsid w:val="30061912"/>
    <w:rsid w:val="31523460"/>
    <w:rsid w:val="320D55D9"/>
    <w:rsid w:val="323427F7"/>
    <w:rsid w:val="32744451"/>
    <w:rsid w:val="346C4839"/>
    <w:rsid w:val="347B2CCE"/>
    <w:rsid w:val="34853B4C"/>
    <w:rsid w:val="34F82C40"/>
    <w:rsid w:val="3552429E"/>
    <w:rsid w:val="3619279E"/>
    <w:rsid w:val="36CE3589"/>
    <w:rsid w:val="37295440"/>
    <w:rsid w:val="37691503"/>
    <w:rsid w:val="37A97B52"/>
    <w:rsid w:val="37DC1CD5"/>
    <w:rsid w:val="388F11FD"/>
    <w:rsid w:val="39643193"/>
    <w:rsid w:val="39D944F1"/>
    <w:rsid w:val="3AC0768C"/>
    <w:rsid w:val="3B5D312D"/>
    <w:rsid w:val="3C4B742A"/>
    <w:rsid w:val="3CBC40CD"/>
    <w:rsid w:val="3DA45043"/>
    <w:rsid w:val="3E083824"/>
    <w:rsid w:val="3E2717D1"/>
    <w:rsid w:val="40714B62"/>
    <w:rsid w:val="410F2EFD"/>
    <w:rsid w:val="41600973"/>
    <w:rsid w:val="41AE6491"/>
    <w:rsid w:val="41AF2209"/>
    <w:rsid w:val="432307B8"/>
    <w:rsid w:val="43AF029E"/>
    <w:rsid w:val="43E57153"/>
    <w:rsid w:val="43EC5DE8"/>
    <w:rsid w:val="44EB17AA"/>
    <w:rsid w:val="451C7BB5"/>
    <w:rsid w:val="458319E2"/>
    <w:rsid w:val="45F8417E"/>
    <w:rsid w:val="45FB5A1D"/>
    <w:rsid w:val="46160AA8"/>
    <w:rsid w:val="462D0357"/>
    <w:rsid w:val="466E61EE"/>
    <w:rsid w:val="47A5321C"/>
    <w:rsid w:val="47E43A3D"/>
    <w:rsid w:val="4883564A"/>
    <w:rsid w:val="48CE11C6"/>
    <w:rsid w:val="490824A1"/>
    <w:rsid w:val="4953791E"/>
    <w:rsid w:val="4A2F038B"/>
    <w:rsid w:val="4A4C4A99"/>
    <w:rsid w:val="4B0B6702"/>
    <w:rsid w:val="4B1D6435"/>
    <w:rsid w:val="4B92297F"/>
    <w:rsid w:val="4BFB6776"/>
    <w:rsid w:val="4C1C66ED"/>
    <w:rsid w:val="4CA961D2"/>
    <w:rsid w:val="4CE80A29"/>
    <w:rsid w:val="4DDC4386"/>
    <w:rsid w:val="4EDF45DA"/>
    <w:rsid w:val="4F075432"/>
    <w:rsid w:val="4F455E49"/>
    <w:rsid w:val="4F5148FF"/>
    <w:rsid w:val="509947B0"/>
    <w:rsid w:val="51422751"/>
    <w:rsid w:val="5148001E"/>
    <w:rsid w:val="51696C56"/>
    <w:rsid w:val="519C5836"/>
    <w:rsid w:val="522462FB"/>
    <w:rsid w:val="52B74D5D"/>
    <w:rsid w:val="5435659E"/>
    <w:rsid w:val="545F361A"/>
    <w:rsid w:val="5472334E"/>
    <w:rsid w:val="54DC110F"/>
    <w:rsid w:val="54E87AB4"/>
    <w:rsid w:val="557D01FC"/>
    <w:rsid w:val="56494582"/>
    <w:rsid w:val="56EE359A"/>
    <w:rsid w:val="571701DC"/>
    <w:rsid w:val="57EB467E"/>
    <w:rsid w:val="586C27AA"/>
    <w:rsid w:val="58906498"/>
    <w:rsid w:val="58DC7930"/>
    <w:rsid w:val="58DD716B"/>
    <w:rsid w:val="59A87812"/>
    <w:rsid w:val="5A85561B"/>
    <w:rsid w:val="5B345801"/>
    <w:rsid w:val="5C0D2777"/>
    <w:rsid w:val="5C565A67"/>
    <w:rsid w:val="5C6C7B1D"/>
    <w:rsid w:val="5CE51E91"/>
    <w:rsid w:val="5CE875D1"/>
    <w:rsid w:val="5D4F4B31"/>
    <w:rsid w:val="5D682495"/>
    <w:rsid w:val="5DD92690"/>
    <w:rsid w:val="5E39312E"/>
    <w:rsid w:val="5E6D6BC5"/>
    <w:rsid w:val="5EBE53E1"/>
    <w:rsid w:val="5F4004F3"/>
    <w:rsid w:val="5F6441DB"/>
    <w:rsid w:val="60036B0E"/>
    <w:rsid w:val="600D594C"/>
    <w:rsid w:val="606130E4"/>
    <w:rsid w:val="612260FC"/>
    <w:rsid w:val="613A2C7B"/>
    <w:rsid w:val="61EB473F"/>
    <w:rsid w:val="620A72BB"/>
    <w:rsid w:val="62D90A3C"/>
    <w:rsid w:val="63071143"/>
    <w:rsid w:val="63091321"/>
    <w:rsid w:val="63505130"/>
    <w:rsid w:val="64B11C70"/>
    <w:rsid w:val="64C07051"/>
    <w:rsid w:val="66215C34"/>
    <w:rsid w:val="664D3C1B"/>
    <w:rsid w:val="66B772E6"/>
    <w:rsid w:val="681F5143"/>
    <w:rsid w:val="694A61EF"/>
    <w:rsid w:val="69C73CE4"/>
    <w:rsid w:val="69FD1611"/>
    <w:rsid w:val="6A0665BA"/>
    <w:rsid w:val="6A115841"/>
    <w:rsid w:val="6AE70FA0"/>
    <w:rsid w:val="6B0D3978"/>
    <w:rsid w:val="6B550731"/>
    <w:rsid w:val="6D2F5E28"/>
    <w:rsid w:val="6D622406"/>
    <w:rsid w:val="6E5715EA"/>
    <w:rsid w:val="6E6144C8"/>
    <w:rsid w:val="6F71097A"/>
    <w:rsid w:val="703C5B33"/>
    <w:rsid w:val="72693AA2"/>
    <w:rsid w:val="734533AA"/>
    <w:rsid w:val="737E5413"/>
    <w:rsid w:val="73E334C8"/>
    <w:rsid w:val="73FE3706"/>
    <w:rsid w:val="74051691"/>
    <w:rsid w:val="74454183"/>
    <w:rsid w:val="746A3BEA"/>
    <w:rsid w:val="75A31161"/>
    <w:rsid w:val="7621477C"/>
    <w:rsid w:val="76911902"/>
    <w:rsid w:val="773C186D"/>
    <w:rsid w:val="77996CC0"/>
    <w:rsid w:val="77C3577D"/>
    <w:rsid w:val="77DA1522"/>
    <w:rsid w:val="7A016D9E"/>
    <w:rsid w:val="7A7158C0"/>
    <w:rsid w:val="7A841E66"/>
    <w:rsid w:val="7AE447A3"/>
    <w:rsid w:val="7B5A4438"/>
    <w:rsid w:val="7B71585E"/>
    <w:rsid w:val="7BF86AD1"/>
    <w:rsid w:val="7C876F1B"/>
    <w:rsid w:val="7D951CD7"/>
    <w:rsid w:val="7F437511"/>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99"/>
    <w:pPr>
      <w:jc w:val="left"/>
    </w:pPr>
  </w:style>
  <w:style w:type="paragraph" w:styleId="6">
    <w:name w:val="Body Text"/>
    <w:basedOn w:val="1"/>
    <w:next w:val="7"/>
    <w:qFormat/>
    <w:uiPriority w:val="0"/>
    <w:pPr>
      <w:spacing w:after="120"/>
    </w:pPr>
  </w:style>
  <w:style w:type="paragraph" w:customStyle="1" w:styleId="7">
    <w:name w:val="目录 71"/>
    <w:basedOn w:val="1"/>
    <w:next w:val="1"/>
    <w:autoRedefine/>
    <w:qFormat/>
    <w:uiPriority w:val="0"/>
    <w:pPr>
      <w:ind w:left="2520"/>
    </w:pPr>
    <w:rPr>
      <w:rFonts w:ascii="Calibri"/>
    </w:rPr>
  </w:style>
  <w:style w:type="paragraph" w:styleId="8">
    <w:name w:val="Body Text Indent"/>
    <w:basedOn w:val="1"/>
    <w:next w:val="9"/>
    <w:qFormat/>
    <w:uiPriority w:val="0"/>
    <w:pPr>
      <w:spacing w:line="480" w:lineRule="auto"/>
      <w:ind w:firstLine="600"/>
    </w:pPr>
    <w:rPr>
      <w:sz w:val="28"/>
      <w:szCs w:val="20"/>
    </w:rPr>
  </w:style>
  <w:style w:type="paragraph" w:styleId="9">
    <w:name w:val="annotation subject"/>
    <w:basedOn w:val="5"/>
    <w:next w:val="1"/>
    <w:qFormat/>
    <w:uiPriority w:val="0"/>
    <w:rPr>
      <w:b/>
      <w:bCs/>
    </w:rPr>
  </w:style>
  <w:style w:type="paragraph" w:styleId="10">
    <w:name w:val="footer"/>
    <w:basedOn w:val="1"/>
    <w:link w:val="22"/>
    <w:autoRedefine/>
    <w:semiHidden/>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unhideWhenUsed/>
    <w:qFormat/>
    <w:uiPriority w:val="99"/>
    <w:pPr>
      <w:ind w:firstLine="420" w:firstLineChars="100"/>
    </w:pPr>
    <w:rPr>
      <w:rFonts w:ascii="Times New Roman" w:hAnsi="Times New Roman"/>
      <w:kern w:val="0"/>
      <w:sz w:val="20"/>
      <w:szCs w:val="20"/>
    </w:rPr>
  </w:style>
  <w:style w:type="paragraph" w:styleId="14">
    <w:name w:val="Body Text First Indent 2"/>
    <w:basedOn w:val="8"/>
    <w:next w:val="1"/>
    <w:unhideWhenUsed/>
    <w:qFormat/>
    <w:uiPriority w:val="99"/>
    <w:pPr>
      <w:ind w:firstLine="42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0"/>
    <w:rPr>
      <w:b/>
    </w:rPr>
  </w:style>
  <w:style w:type="paragraph" w:customStyle="1" w:styleId="19">
    <w:name w:val="style4"/>
    <w:basedOn w:val="1"/>
    <w:next w:val="20"/>
    <w:autoRedefine/>
    <w:qFormat/>
    <w:uiPriority w:val="0"/>
    <w:pPr>
      <w:widowControl/>
      <w:spacing w:before="280" w:after="280"/>
    </w:pPr>
    <w:rPr>
      <w:rFonts w:ascii="宋体" w:hAnsi="Times New Roman" w:eastAsia="宋体" w:cs="Times New Roman"/>
      <w:sz w:val="18"/>
    </w:rPr>
  </w:style>
  <w:style w:type="paragraph" w:customStyle="1" w:styleId="20">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21">
    <w:name w:val="页眉 Char"/>
    <w:basedOn w:val="17"/>
    <w:link w:val="11"/>
    <w:autoRedefine/>
    <w:semiHidden/>
    <w:qFormat/>
    <w:uiPriority w:val="99"/>
    <w:rPr>
      <w:sz w:val="18"/>
      <w:szCs w:val="18"/>
    </w:rPr>
  </w:style>
  <w:style w:type="character" w:customStyle="1" w:styleId="22">
    <w:name w:val="页脚 Char"/>
    <w:basedOn w:val="17"/>
    <w:link w:val="10"/>
    <w:autoRedefine/>
    <w:semiHidden/>
    <w:qFormat/>
    <w:uiPriority w:val="99"/>
    <w:rPr>
      <w:sz w:val="18"/>
      <w:szCs w:val="18"/>
    </w:rPr>
  </w:style>
  <w:style w:type="character" w:customStyle="1" w:styleId="23">
    <w:name w:val="NormalCharacter"/>
    <w:autoRedefine/>
    <w:qFormat/>
    <w:uiPriority w:val="0"/>
  </w:style>
  <w:style w:type="paragraph" w:customStyle="1" w:styleId="24">
    <w:name w:val="表格文字"/>
    <w:basedOn w:val="1"/>
    <w:qFormat/>
    <w:uiPriority w:val="1624"/>
    <w:pPr>
      <w:spacing w:line="420" w:lineRule="atLeast"/>
      <w:textAlignment w:val="baseline"/>
    </w:pPr>
    <w:rPr>
      <w:szCs w:val="24"/>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2983</Words>
  <Characters>3087</Characters>
  <Lines>3</Lines>
  <Paragraphs>1</Paragraphs>
  <TotalTime>0</TotalTime>
  <ScaleCrop>false</ScaleCrop>
  <LinksUpToDate>false</LinksUpToDate>
  <CharactersWithSpaces>3159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渡</cp:lastModifiedBy>
  <dcterms:modified xsi:type="dcterms:W3CDTF">2026-06-08T01:34:29Z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6EB1FC29297342488AD2A3ABA6682F4F_13</vt:lpwstr>
  </property>
  <property fmtid="{D5CDD505-2E9C-101B-9397-08002B2CF9AE}" pid="4" name="KSOTemplateDocerSaveRecord">
    <vt:lpwstr>eyJoZGlkIjoiYjk4MGE4OTQzMmYzOWM1MjA4YWRmNGM0YzRlMDgyMjUiLCJ1c2VySWQiOiIzOTkxMzY3NjYifQ==</vt:lpwstr>
  </property>
</Properties>
</file>