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2F6E0">
      <w:pPr>
        <w:jc w:val="center"/>
        <w:rPr>
          <w:rFonts w:hint="eastAsia"/>
          <w:lang w:val="en-US" w:eastAsia="zh-CN"/>
        </w:rPr>
      </w:pPr>
      <w:r>
        <w:rPr>
          <w:rFonts w:hint="eastAsia"/>
          <w:b/>
          <w:bCs/>
          <w:sz w:val="36"/>
          <w:szCs w:val="36"/>
          <w:lang w:val="en-US" w:eastAsia="zh-CN"/>
        </w:rPr>
        <w:t>各包需要配套的检测服务平台要求</w:t>
      </w:r>
    </w:p>
    <w:p w14:paraId="6BA0922A">
      <w:pPr>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hint="eastAsia" w:ascii="宋体" w:hAnsi="宋体" w:eastAsia="宋体"/>
          <w:b w:val="0"/>
          <w:bCs/>
          <w:color w:val="auto"/>
          <w:sz w:val="24"/>
          <w:highlight w:val="none"/>
          <w:lang w:val="en-US" w:eastAsia="zh-CN"/>
        </w:rPr>
      </w:pPr>
    </w:p>
    <w:p w14:paraId="4580750F">
      <w:pPr>
        <w:keepNext w:val="0"/>
        <w:keepLines w:val="0"/>
        <w:pageBreakBefore w:val="0"/>
        <w:widowControl w:val="0"/>
        <w:kinsoku/>
        <w:wordWrap/>
        <w:overflowPunct/>
        <w:topLinePunct w:val="0"/>
        <w:bidi w:val="0"/>
        <w:snapToGrid/>
        <w:spacing w:line="400" w:lineRule="exact"/>
        <w:ind w:firstLine="480" w:firstLineChars="200"/>
        <w:textAlignment w:val="auto"/>
        <w:outlineLvl w:val="9"/>
        <w:rPr>
          <w:rFonts w:hint="eastAsia" w:ascii="宋体" w:hAnsi="宋体" w:eastAsia="宋体"/>
          <w:b w:val="0"/>
          <w:bCs/>
          <w:color w:val="auto"/>
          <w:sz w:val="24"/>
          <w:highlight w:val="none"/>
          <w:lang w:val="en-US" w:eastAsia="zh-CN"/>
        </w:rPr>
      </w:pPr>
      <w:r>
        <w:rPr>
          <w:rFonts w:hint="eastAsia" w:ascii="宋体" w:hAnsi="宋体" w:eastAsia="宋体"/>
          <w:b w:val="0"/>
          <w:bCs/>
          <w:color w:val="auto"/>
          <w:sz w:val="24"/>
          <w:highlight w:val="none"/>
          <w:lang w:val="en-US" w:eastAsia="zh-CN"/>
        </w:rPr>
        <w:t>本项目第一包、第二包投标供应商须按各包服务需求表中确定的配置要求提供配套检测服务平台。其他各包配套检测服务平台要求如下</w:t>
      </w:r>
      <w:r>
        <w:rPr>
          <w:rFonts w:hint="eastAsia" w:ascii="宋体" w:hAnsi="宋体"/>
          <w:b w:val="0"/>
          <w:bCs/>
          <w:color w:val="auto"/>
          <w:sz w:val="24"/>
          <w:highlight w:val="none"/>
          <w:lang w:val="en-US" w:eastAsia="zh-CN"/>
        </w:rPr>
        <w:t>。</w:t>
      </w:r>
    </w:p>
    <w:p w14:paraId="16EF6AA0">
      <w:pPr>
        <w:keepNext w:val="0"/>
        <w:keepLines w:val="0"/>
        <w:pageBreakBefore w:val="0"/>
        <w:widowControl w:val="0"/>
        <w:kinsoku/>
        <w:wordWrap/>
        <w:overflowPunct/>
        <w:topLinePunct w:val="0"/>
        <w:bidi w:val="0"/>
        <w:snapToGrid/>
        <w:spacing w:line="400" w:lineRule="exact"/>
        <w:ind w:firstLine="562" w:firstLineChars="200"/>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b/>
          <w:bCs w:val="0"/>
          <w:color w:val="auto"/>
          <w:sz w:val="28"/>
          <w:szCs w:val="28"/>
          <w:highlight w:val="none"/>
          <w:lang w:val="en-US" w:eastAsia="zh-CN"/>
        </w:rPr>
        <w:t>一、第一包配套检测平台要求</w:t>
      </w:r>
      <w:r>
        <w:rPr>
          <w:rFonts w:hint="eastAsia" w:ascii="宋体" w:hAnsi="宋体" w:eastAsia="宋体" w:cs="宋体"/>
          <w:b w:val="0"/>
          <w:bCs w:val="0"/>
          <w:color w:val="auto"/>
          <w:sz w:val="24"/>
          <w:szCs w:val="24"/>
          <w:lang w:val="en-US" w:eastAsia="zh-CN"/>
        </w:rPr>
        <w:tab/>
      </w:r>
      <w:bookmarkStart w:id="1" w:name="_GoBack"/>
      <w:bookmarkEnd w:id="1"/>
    </w:p>
    <w:p w14:paraId="20903223">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w:t>
      </w:r>
      <w:r>
        <w:rPr>
          <w:rFonts w:hint="eastAsia" w:ascii="宋体" w:hAnsi="宋体" w:eastAsia="宋体" w:cs="宋体"/>
          <w:b/>
          <w:bCs/>
          <w:color w:val="auto"/>
          <w:sz w:val="24"/>
          <w:szCs w:val="24"/>
          <w:lang w:val="en-US" w:eastAsia="zh-CN"/>
        </w:rPr>
        <w:t>.血细胞分析配套检测服务平台要求</w:t>
      </w:r>
    </w:p>
    <w:p w14:paraId="170B1E6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.1血细胞分析配套检测平台包括：血细胞分析流水线一套和线下单机两台。</w:t>
      </w:r>
      <w:r>
        <w:rPr>
          <w:rFonts w:hint="eastAsia" w:ascii="宋体" w:hAnsi="宋体" w:eastAsia="宋体" w:cs="宋体"/>
          <w:b w:val="0"/>
          <w:bCs w:val="0"/>
          <w:color w:val="auto"/>
          <w:sz w:val="24"/>
          <w:szCs w:val="24"/>
          <w:lang w:val="en-US" w:eastAsia="zh-CN"/>
        </w:rPr>
        <w:tab/>
      </w:r>
    </w:p>
    <w:p w14:paraId="1CAB36D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.2血细胞分析流水线由全自动五分类血液细胞分析仪、推片染色机和全自动细胞形态学分析仪（阅片机）通过轨道连接组成。</w:t>
      </w:r>
    </w:p>
    <w:p w14:paraId="321306B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.3流水线具有血常规五分类、有核红细胞、网织红细胞、CRP、体液常规检测、自动推片染色、自动阅片等功能；流水线检测速度（全血细胞计数+五分类+NRBC）≥300个样本/小时，流水线网织红整体检测速度≥150T/H， 线上单机检测速度（全血细胞计数+五分类+NRBC）≥100个样本/小时；线上单机互为备机，可单独使用；可随时插入急诊标本。</w:t>
      </w:r>
      <w:r>
        <w:rPr>
          <w:rFonts w:hint="eastAsia" w:ascii="宋体" w:hAnsi="宋体" w:eastAsia="宋体" w:cs="宋体"/>
          <w:b w:val="0"/>
          <w:bCs w:val="0"/>
          <w:color w:val="auto"/>
          <w:sz w:val="24"/>
          <w:szCs w:val="24"/>
          <w:lang w:val="en-US" w:eastAsia="zh-CN"/>
        </w:rPr>
        <w:tab/>
      </w:r>
    </w:p>
    <w:p w14:paraId="6EE5BB7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.4检测方法及原理：血液分析采用半导体激光法、鞘流电阻抗法、荧光染色法和流式细胞技术原理，CRP检测采用免疫散射比浊法。</w:t>
      </w:r>
    </w:p>
    <w:p w14:paraId="674979C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.5体液检测可以对脑脊液、胸水、腹水、关节腔积液等体液进行红细胞和白细胞计数,并对白细胞进行分类；体液检测中具有通过高荧光体液细胞参数对肿瘤细胞进行提示功能。</w:t>
      </w:r>
    </w:p>
    <w:p w14:paraId="488839A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.6进样方式：静脉全血、末梢全血、末梢预稀释血均可自动批量进样或手动进样；标配自动进样器，自动进样器内轨标配回退功能；有封闭进样急诊位，支持静脉血和末梢全血急诊进样。</w:t>
      </w:r>
    </w:p>
    <w:p w14:paraId="53BEA3D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.7提供有溯源性的校准物，并有配套高、中、低3个水平质控物。</w:t>
      </w:r>
      <w:r>
        <w:rPr>
          <w:rFonts w:hint="eastAsia" w:ascii="宋体" w:hAnsi="宋体" w:eastAsia="宋体" w:cs="宋体"/>
          <w:b w:val="0"/>
          <w:bCs w:val="0"/>
          <w:color w:val="auto"/>
          <w:sz w:val="24"/>
          <w:szCs w:val="24"/>
          <w:lang w:val="en-US" w:eastAsia="zh-CN"/>
        </w:rPr>
        <w:tab/>
      </w:r>
    </w:p>
    <w:p w14:paraId="7CD43E6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.8血小板检测采用阻抗法和荧光染色法两种，具备低值血小板检测功能。</w:t>
      </w:r>
    </w:p>
    <w:p w14:paraId="429C8D7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.9推片机可独立工作。</w:t>
      </w:r>
    </w:p>
    <w:p w14:paraId="191DD54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.10推片机的推片规则可以自定义。</w:t>
      </w:r>
    </w:p>
    <w:p w14:paraId="6EEF97B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.11 阅片机适用于对外周血涂片血细胞的形态图像摄取、可视化观察及描述，包括白细胞单细胞图像摄取、初步分类，红细胞形态描述及血小板数目估算；单机处理能力：外周血涂片（100WBC+RBC+PLT）≥30张/小时。</w:t>
      </w:r>
    </w:p>
    <w:p w14:paraId="13749CE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.12阅片机可与推染片机连接，自动接收推染片机制作好的涂片，并能接收外来血涂片。</w:t>
      </w:r>
    </w:p>
    <w:p w14:paraId="2610AE4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.13阅片机可以创建不同类型的数据库，通用分析数据库，扫描数据库，导出数据库满足不同标本的分析需要。</w:t>
      </w:r>
    </w:p>
    <w:p w14:paraId="157C27F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.14阅片机有10倍，50倍和100倍三个放大倍数的物镜，并且具有10倍概览图可进行数字放大。</w:t>
      </w:r>
    </w:p>
    <w:p w14:paraId="4257CFD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.15线下单机要求具有血常规五分类、有核红细胞、网织红细胞、CRP（可通过联机方式解决）、体液常规检测功能；静脉全血、末梢全血、末梢预稀释血均可自动批量进样或手动进样；品牌机型与流水线上相同</w:t>
      </w:r>
    </w:p>
    <w:p w14:paraId="397A195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.16实时在线仪器运行状态监控。</w:t>
      </w:r>
    </w:p>
    <w:p w14:paraId="386B305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.17实时管理质控结果。</w:t>
      </w:r>
    </w:p>
    <w:p w14:paraId="4E42F17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.18支持LIS 双向通讯。</w:t>
      </w:r>
    </w:p>
    <w:p w14:paraId="074E0BE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.19 配备能保证仪器满负荷运转要求（≥1小时）的UPS，并负责维护保养。</w:t>
      </w:r>
    </w:p>
    <w:p w14:paraId="5D39389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p>
    <w:p w14:paraId="32D69268">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7E99C7BB">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.全自动血沉分析仪要求</w:t>
      </w:r>
    </w:p>
    <w:p w14:paraId="68216DD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.1测量时间：30 分钟/60 分钟。</w:t>
      </w:r>
    </w:p>
    <w:p w14:paraId="4BADDE2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.2测量孔位：≥40 孔。</w:t>
      </w:r>
    </w:p>
    <w:p w14:paraId="0FE5326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.3测量误差：≤±0.5mm/h。</w:t>
      </w:r>
    </w:p>
    <w:p w14:paraId="621E085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.4真空采血管直接上机，魏氏法结果。</w:t>
      </w:r>
    </w:p>
    <w:p w14:paraId="0513F93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.5每一个测试孔位 独立工作，标本可随到随测，不用等待。</w:t>
      </w:r>
    </w:p>
    <w:p w14:paraId="7864A34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.6能够与LIS实现双向通讯，样本可直接扫码上机测试。</w:t>
      </w:r>
    </w:p>
    <w:p w14:paraId="58B58E2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.7具有配套质控品。</w:t>
      </w:r>
    </w:p>
    <w:p w14:paraId="2F1F50B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p>
    <w:p w14:paraId="53807DFB">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 糖化血红蛋白分析仪要求</w:t>
      </w:r>
    </w:p>
    <w:p w14:paraId="71E339A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★3.1分析原理:离子交换HPLC。</w:t>
      </w:r>
    </w:p>
    <w:p w14:paraId="6C1DB98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★3.2通过认证:通过IFCC/NGSP认证。</w:t>
      </w:r>
    </w:p>
    <w:p w14:paraId="2C23ADB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★3.3 可与血细胞流水线联机</w:t>
      </w:r>
    </w:p>
    <w:p w14:paraId="1CB2F3D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3.4 进样模式:自动全血、自动预稀释、封闭全血。</w:t>
      </w:r>
    </w:p>
    <w:p w14:paraId="628CDE9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3.5 层析柱测量次数≥3000次。检测速度:≥50样本/小时。</w:t>
      </w:r>
    </w:p>
    <w:p w14:paraId="59BF16C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3.6 急诊模式:有专用急诊样本位。</w:t>
      </w:r>
    </w:p>
    <w:p w14:paraId="55A8B47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3.7 标本自动颠倒混匀、不停机更换试剂、无需更换过滤网。</w:t>
      </w:r>
      <w:r>
        <w:rPr>
          <w:rFonts w:hint="default" w:ascii="宋体" w:hAnsi="宋体" w:eastAsia="宋体" w:cs="宋体"/>
          <w:b w:val="0"/>
          <w:bCs w:val="0"/>
          <w:color w:val="auto"/>
          <w:sz w:val="24"/>
          <w:szCs w:val="24"/>
          <w:lang w:val="en-US" w:eastAsia="zh-CN"/>
        </w:rPr>
        <w:t>有试剂管理功能</w:t>
      </w:r>
      <w:r>
        <w:rPr>
          <w:rFonts w:hint="eastAsia" w:ascii="宋体" w:hAnsi="宋体" w:eastAsia="宋体" w:cs="宋体"/>
          <w:b w:val="0"/>
          <w:bCs w:val="0"/>
          <w:color w:val="auto"/>
          <w:sz w:val="24"/>
          <w:szCs w:val="24"/>
          <w:lang w:val="en-US" w:eastAsia="zh-CN"/>
        </w:rPr>
        <w:t>，</w:t>
      </w:r>
      <w:r>
        <w:rPr>
          <w:rFonts w:hint="default" w:ascii="宋体" w:hAnsi="宋体" w:eastAsia="宋体" w:cs="宋体"/>
          <w:b w:val="0"/>
          <w:bCs w:val="0"/>
          <w:color w:val="auto"/>
          <w:sz w:val="24"/>
          <w:szCs w:val="24"/>
          <w:lang w:val="en-US" w:eastAsia="zh-CN"/>
        </w:rPr>
        <w:t>自动维护功能</w:t>
      </w:r>
      <w:r>
        <w:rPr>
          <w:rFonts w:hint="eastAsia" w:ascii="宋体" w:hAnsi="宋体" w:eastAsia="宋体" w:cs="宋体"/>
          <w:b w:val="0"/>
          <w:bCs w:val="0"/>
          <w:color w:val="auto"/>
          <w:sz w:val="24"/>
          <w:szCs w:val="24"/>
          <w:lang w:val="en-US" w:eastAsia="zh-CN"/>
        </w:rPr>
        <w:t>，</w:t>
      </w:r>
      <w:r>
        <w:rPr>
          <w:rFonts w:hint="default" w:ascii="宋体" w:hAnsi="宋体" w:eastAsia="宋体" w:cs="宋体"/>
          <w:b w:val="0"/>
          <w:bCs w:val="0"/>
          <w:color w:val="auto"/>
          <w:sz w:val="24"/>
          <w:szCs w:val="24"/>
          <w:lang w:val="en-US" w:eastAsia="zh-CN"/>
        </w:rPr>
        <w:t>有自动报警和错误提示功能</w:t>
      </w:r>
      <w:r>
        <w:rPr>
          <w:rFonts w:hint="eastAsia" w:ascii="宋体" w:hAnsi="宋体" w:eastAsia="宋体" w:cs="宋体"/>
          <w:b w:val="0"/>
          <w:bCs w:val="0"/>
          <w:color w:val="auto"/>
          <w:sz w:val="24"/>
          <w:szCs w:val="24"/>
          <w:lang w:val="en-US" w:eastAsia="zh-CN"/>
        </w:rPr>
        <w:t>。</w:t>
      </w:r>
    </w:p>
    <w:p w14:paraId="4F4C03B2">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01EC402E">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4.全自动粪便分析仪要求</w:t>
      </w:r>
    </w:p>
    <w:p w14:paraId="7297756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4.1 设备数量：两台</w:t>
      </w:r>
    </w:p>
    <w:p w14:paraId="61EEE16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4.2检测项目：全自动实现样本颜色与性状拍照与结果自动判读；样本有形成分（细胞、食物残留、细菌、病毒、寄生虫虫体及虫卵、原虫、结晶与其它颗粒等）显微镜检拍照与结果自动判读；样本免疫学项目（粪便隐血、轮状病毒等）免疫层析法（含金标法）检测与结果自动判读。</w:t>
      </w:r>
    </w:p>
    <w:p w14:paraId="7022C1C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4.3样本检测速度：≥75标本/小时。</w:t>
      </w:r>
      <w:bookmarkStart w:id="0" w:name="_Hlk62563781"/>
    </w:p>
    <w:p w14:paraId="5F0C165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4.4同时测试免疫学项目≥5个，具有自动送卡、不停机加卡功能。</w:t>
      </w:r>
    </w:p>
    <w:p w14:paraId="4420E29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4.5样本采集后运送、检测、回收全过程封闭。</w:t>
      </w:r>
    </w:p>
    <w:bookmarkEnd w:id="0"/>
    <w:p w14:paraId="1E8572F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4.6具有配套粪便形态学质控品、粪便隐血质控品，软件自带质控功能模块，可上机操作。</w:t>
      </w:r>
    </w:p>
    <w:p w14:paraId="18307FF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4.7能够与LIS实现双向通讯，样本可直接扫码上机测试。</w:t>
      </w:r>
    </w:p>
    <w:p w14:paraId="0F975934">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0FCB977A">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5.尿液分析系统要求</w:t>
      </w:r>
    </w:p>
    <w:p w14:paraId="4A7967D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5.1设备数量：两套</w:t>
      </w:r>
    </w:p>
    <w:p w14:paraId="409E07B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5.2一份样本即可完成尿液样本干化学以及尿液有形成分的定量分析。</w:t>
      </w:r>
    </w:p>
    <w:p w14:paraId="511AB90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5.3干化学测试项目≥13项，有形成分分析采用图像自动识别原理。干化学测试模式≥220个/每小时；有形成分测试模式≥120个/每小时；联合测试模式≥120个/每小时。</w:t>
      </w:r>
    </w:p>
    <w:p w14:paraId="651279C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5.4可进行单个样本的急诊测试。</w:t>
      </w:r>
    </w:p>
    <w:p w14:paraId="1276F18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5.5样本量检测：采用液面感应技术，当测试样本量不足时有报警提示。</w:t>
      </w:r>
    </w:p>
    <w:p w14:paraId="629C684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5.6红细胞形态学检测功能：可通过红细胞形态的鉴定发出红细胞形态学报告。</w:t>
      </w:r>
    </w:p>
    <w:p w14:paraId="20466E2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5.7具备渗透压检测功能</w:t>
      </w:r>
    </w:p>
    <w:p w14:paraId="66B88EC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5.8携带污染率：干化学除比重和PH外各测试项目最高浓度结果的阳性样本，随后检测阴性样本，阴性样本不得出现阳性；尿液有形成分≤0.05%。</w:t>
      </w:r>
    </w:p>
    <w:p w14:paraId="6824FFD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5.9具有配套高、中、低三个浓度水平的尿干化学质控液，能提供尿有形成分质控液。</w:t>
      </w:r>
    </w:p>
    <w:p w14:paraId="2A0ADE8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5.10能够与LIS实现双向通讯，样本可直接扫码上机测试。</w:t>
      </w:r>
    </w:p>
    <w:p w14:paraId="269AD3D3">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19706671">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6.尿液生化（或特定蛋白）测定仪器要求</w:t>
      </w:r>
    </w:p>
    <w:p w14:paraId="20C3ADC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6.1检测项目：尿肌酐、尿微量白蛋白、尿视黄醇结合蛋白、尿β2-微球蛋白、α1-微球蛋白、NAG、尿转铁蛋白等。</w:t>
      </w:r>
    </w:p>
    <w:p w14:paraId="74FF788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6.2样本类型：尿液等。</w:t>
      </w:r>
    </w:p>
    <w:p w14:paraId="2F729A5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6.3检测速度≥200测试/小时；支持原始管上机；具有急诊测试功能。</w:t>
      </w:r>
    </w:p>
    <w:p w14:paraId="1CF99D1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6.4样本针具备液面检测、自动清洗功能；携带污染率《0.5%。能够与LIS实现双向通讯，样本可直接扫码上机测试。</w:t>
      </w:r>
    </w:p>
    <w:p w14:paraId="1121282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p>
    <w:p w14:paraId="53FA93B3">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562" w:firstLineChars="200"/>
        <w:jc w:val="left"/>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第二包配套检测平台要求</w:t>
      </w:r>
    </w:p>
    <w:p w14:paraId="440B436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1.全自动细菌鉴定及药敏分析系统要求</w:t>
      </w:r>
    </w:p>
    <w:p w14:paraId="43E9378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1.1适用范围：用于临床病原菌的鉴定和抗菌药物 MIC 值的检测分析。</w:t>
      </w:r>
    </w:p>
    <w:p w14:paraId="787CC44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1.2 检测原理：细菌鉴定利用比色或荧光等检测方法进行鉴定。药敏实验采用比浊和(或)其他方法，为实测MIC值的检测。</w:t>
      </w:r>
    </w:p>
    <w:p w14:paraId="7AE0E9A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1.3 鉴定菌库：鉴定细菌&gt; 400种，菌库包括葡萄球菌、链球菌、微球菌、肠球菌、棒状杆菌、芽孢杆菌、李斯特氏菌、沙门氏菌、志贺氏菌、弧菌、假单胞菌、气单胞菌、肠杆菌、耶尔森式菌、嗜血杆菌、奈瑟菌、酵母菌等。</w:t>
      </w:r>
    </w:p>
    <w:p w14:paraId="29225AC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1.4 仪器容量：最大可同时处理≥50份标本，可满足实验室日常工作需要检测速度。</w:t>
      </w:r>
    </w:p>
    <w:p w14:paraId="3CCE2EB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1.5 鉴定及药敏试验速度：细菌鉴定及药敏平均检测时间≤12小时；真菌药敏平均报告时间≤16小时。</w:t>
      </w:r>
    </w:p>
    <w:p w14:paraId="176DECA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1.6 鉴定</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药敏板卡采用全封闭式附独立条形码测试卡，检测过程中无需</w:t>
      </w:r>
      <w:r>
        <w:rPr>
          <w:rFonts w:hint="eastAsia" w:ascii="宋体" w:hAnsi="宋体" w:cs="宋体"/>
          <w:b w:val="0"/>
          <w:bCs w:val="0"/>
          <w:color w:val="auto"/>
          <w:sz w:val="24"/>
          <w:szCs w:val="24"/>
          <w:lang w:val="en-US" w:eastAsia="zh-CN"/>
        </w:rPr>
        <w:t>手工</w:t>
      </w:r>
      <w:r>
        <w:rPr>
          <w:rFonts w:hint="eastAsia" w:ascii="宋体" w:hAnsi="宋体" w:eastAsia="宋体" w:cs="宋体"/>
          <w:b w:val="0"/>
          <w:bCs w:val="0"/>
          <w:color w:val="auto"/>
          <w:sz w:val="24"/>
          <w:szCs w:val="24"/>
          <w:lang w:val="en-US" w:eastAsia="zh-CN"/>
        </w:rPr>
        <w:t>额外加试剂。</w:t>
      </w:r>
    </w:p>
    <w:p w14:paraId="20E4742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1.7 板卡种类：临床常见菌测试板卡：肠杆菌、非发酵菌、链球菌、肠球菌、葡萄球菌（微球菌）鉴定药敏复合板，同时具备药物种类和浓度梯度不少于复合板的单药敏板。</w:t>
      </w:r>
    </w:p>
    <w:p w14:paraId="4F4574B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1.8 </w:t>
      </w:r>
      <w:r>
        <w:rPr>
          <w:rFonts w:hint="eastAsia" w:ascii="宋体" w:hAnsi="宋体" w:eastAsia="宋体" w:cs="宋体"/>
          <w:b w:val="0"/>
          <w:bCs w:val="0"/>
          <w:color w:val="auto"/>
          <w:sz w:val="24"/>
          <w:szCs w:val="24"/>
          <w:lang w:val="en-US" w:eastAsia="zh-CN"/>
        </w:rPr>
        <w:t>具备酵母样真菌、棒状杆菌、奈瑟氏菌/嗜血杆菌鉴定药敏板。</w:t>
      </w:r>
    </w:p>
    <w:p w14:paraId="3BF350E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 xml:space="preserve">9 </w:t>
      </w:r>
      <w:r>
        <w:rPr>
          <w:rFonts w:hint="eastAsia" w:ascii="宋体" w:hAnsi="宋体" w:eastAsia="宋体" w:cs="宋体"/>
          <w:b w:val="0"/>
          <w:bCs w:val="0"/>
          <w:color w:val="auto"/>
          <w:sz w:val="24"/>
          <w:szCs w:val="24"/>
          <w:lang w:val="en-US" w:eastAsia="zh-CN"/>
        </w:rPr>
        <w:t>药敏反应：采用连续倍比稀释的抗生素浓度，每种抗生素检测3－7个浓度，覆盖CLSI、EUCAST的折点，满足临床根据PK/PD用药的需求。报告实测MIC值，并根据专家规则将其转换为S、I、R的结果。</w:t>
      </w:r>
    </w:p>
    <w:p w14:paraId="37FF700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 xml:space="preserve">10 </w:t>
      </w:r>
      <w:r>
        <w:rPr>
          <w:rFonts w:hint="eastAsia" w:ascii="宋体" w:hAnsi="宋体" w:eastAsia="宋体" w:cs="宋体"/>
          <w:b w:val="0"/>
          <w:bCs w:val="0"/>
          <w:color w:val="auto"/>
          <w:sz w:val="24"/>
          <w:szCs w:val="24"/>
          <w:lang w:val="en-US" w:eastAsia="zh-CN"/>
        </w:rPr>
        <w:t>测试药物数量：单张细菌药敏板卡提供不少于15个药物敏感性结果及MIC值，真菌药敏可检测药物≥5 种。</w:t>
      </w:r>
    </w:p>
    <w:p w14:paraId="0B1159A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11</w:t>
      </w:r>
      <w:r>
        <w:rPr>
          <w:rFonts w:hint="eastAsia" w:ascii="宋体" w:hAnsi="宋体" w:eastAsia="宋体" w:cs="宋体"/>
          <w:b w:val="0"/>
          <w:bCs w:val="0"/>
          <w:color w:val="auto"/>
          <w:sz w:val="24"/>
          <w:szCs w:val="24"/>
          <w:lang w:val="en-US" w:eastAsia="zh-CN"/>
        </w:rPr>
        <w:t xml:space="preserve"> 测试药物种类：对于革兰阴性菌，可以提供头孢哌酮/舒巴坦、替加环素、米诺环素、粘菌素等药物的药敏检测；对于革兰阳性球菌可以提供达托霉素、替考拉宁、万古霉素、利奈唑胺等药物的药敏检测。</w:t>
      </w:r>
    </w:p>
    <w:p w14:paraId="63ABE42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12</w:t>
      </w:r>
      <w:r>
        <w:rPr>
          <w:rFonts w:hint="eastAsia" w:ascii="宋体" w:hAnsi="宋体" w:eastAsia="宋体" w:cs="宋体"/>
          <w:b w:val="0"/>
          <w:bCs w:val="0"/>
          <w:color w:val="auto"/>
          <w:sz w:val="24"/>
          <w:szCs w:val="24"/>
          <w:lang w:val="en-US" w:eastAsia="zh-CN"/>
        </w:rPr>
        <w:t xml:space="preserve"> 药敏结果符合CLSI 及EUCAST规则要求，测试药物应尽量满足《全国细菌耐药监测网技术方案》要求必做药物。</w:t>
      </w:r>
    </w:p>
    <w:p w14:paraId="09ECE3D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 xml:space="preserve">13 </w:t>
      </w:r>
      <w:r>
        <w:rPr>
          <w:rFonts w:hint="eastAsia" w:ascii="宋体" w:hAnsi="宋体" w:eastAsia="宋体" w:cs="宋体"/>
          <w:b w:val="0"/>
          <w:bCs w:val="0"/>
          <w:color w:val="auto"/>
          <w:sz w:val="24"/>
          <w:szCs w:val="24"/>
          <w:lang w:val="en-US" w:eastAsia="zh-CN"/>
        </w:rPr>
        <w:t>可检测包括ESBL，CRE，MRSA，VRE，高水平氨基糖苷类耐药，可诱导克林霉素耐药、头孢西丁耐药等多种耐药机制，无需专用耐药机制检测板条。</w:t>
      </w:r>
    </w:p>
    <w:p w14:paraId="4114040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lang w:val="en-US" w:eastAsia="zh-CN"/>
        </w:rPr>
        <w:t>通过CARSS中间件实现对ESBL，CRE，MRSA，VRE等13种重点耐药率指标监测，对高于全国/本省平均耐药率的结果实现自动预警。</w:t>
      </w:r>
    </w:p>
    <w:p w14:paraId="1BAC929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比浊仪：提供可与鉴定药敏系统配套的比浊仪及校准管。标准浊度管永久有效，保证比浊仪校准和药敏结果的可靠性。</w:t>
      </w:r>
    </w:p>
    <w:p w14:paraId="467A2D1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lang w:val="en-US" w:eastAsia="zh-CN"/>
        </w:rPr>
        <w:t>高级专家管理系统：具备高级专家系统，包含CLSI、EUCAST等国际标准，可提示天然耐药及特殊耐药表型，可发现异常耐药表型，对鉴定及药敏结果进行评价并修正结果。其药敏规则应按照最新标准及时升级更新。</w:t>
      </w:r>
    </w:p>
    <w:p w14:paraId="09C1F63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7</w:t>
      </w:r>
      <w:r>
        <w:rPr>
          <w:rFonts w:hint="eastAsia" w:ascii="宋体" w:hAnsi="宋体" w:eastAsia="宋体" w:cs="宋体"/>
          <w:b w:val="0"/>
          <w:bCs w:val="0"/>
          <w:color w:val="auto"/>
          <w:sz w:val="24"/>
          <w:szCs w:val="24"/>
          <w:lang w:val="en-US" w:eastAsia="zh-CN"/>
        </w:rPr>
        <w:t>软件中具有专用的质控模块，可以对整体流程进行质量控制，可以发布鉴定/药敏质控报告。</w:t>
      </w:r>
    </w:p>
    <w:p w14:paraId="2EB5B77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 xml:space="preserve"> Whonet连接：可实现WHONET文件格式导出。</w:t>
      </w:r>
    </w:p>
    <w:p w14:paraId="59CEE15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w:t>
      </w:r>
      <w:r>
        <w:rPr>
          <w:rFonts w:hint="eastAsia" w:ascii="宋体" w:hAnsi="宋体" w:cs="宋体"/>
          <w:b w:val="0"/>
          <w:bCs w:val="0"/>
          <w:color w:val="auto"/>
          <w:sz w:val="24"/>
          <w:szCs w:val="24"/>
          <w:lang w:val="en-US" w:eastAsia="zh-CN"/>
        </w:rPr>
        <w:t>9</w:t>
      </w:r>
      <w:r>
        <w:rPr>
          <w:rFonts w:hint="eastAsia" w:ascii="宋体" w:hAnsi="宋体" w:eastAsia="宋体" w:cs="宋体"/>
          <w:b w:val="0"/>
          <w:bCs w:val="0"/>
          <w:color w:val="auto"/>
          <w:sz w:val="24"/>
          <w:szCs w:val="24"/>
          <w:lang w:val="en-US" w:eastAsia="zh-CN"/>
        </w:rPr>
        <w:t xml:space="preserve"> 实验室信息系统：提供同品牌药敏监测数据分析中间件软件，可连接LIS系统，实现和LIS系统的单向或双向通讯，自动审核并导出符合CARSS数据标准的文件，并可检查罕见耐药表型对重点耐药监测指标进行预警。</w:t>
      </w:r>
    </w:p>
    <w:p w14:paraId="5EA721E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1.20 </w:t>
      </w:r>
      <w:r>
        <w:rPr>
          <w:rFonts w:hint="eastAsia" w:ascii="宋体" w:hAnsi="宋体" w:eastAsia="宋体" w:cs="宋体"/>
          <w:b w:val="0"/>
          <w:bCs w:val="0"/>
          <w:color w:val="auto"/>
          <w:sz w:val="24"/>
          <w:szCs w:val="24"/>
          <w:lang w:val="en-US" w:eastAsia="zh-CN"/>
        </w:rPr>
        <w:t>配备能保证仪器满负荷运转要求（≥1小时）的UPS，并负责维护保养。</w:t>
      </w:r>
    </w:p>
    <w:p w14:paraId="6BBD50F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p>
    <w:p w14:paraId="6C7AC96B">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2.全自动血培养仪参数要求</w:t>
      </w:r>
    </w:p>
    <w:p w14:paraId="7E67E3F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2.1适用范围：通过体外培养的方式检测人体血液或胸腹水、脑脊液、腹透液等其他无菌体液中的微生物。</w:t>
      </w:r>
    </w:p>
    <w:p w14:paraId="68F6EDA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2.2 检测原理：利用微生物在代谢过程中产生CO2，CO2与培养瓶瓶底感受物质发生反应，通过显色或荧光技术连续检测，将光电信号系统转化为电信号，并通过强大的运算法则的分析和运算得出培养结果，绘制成微生物生长曲线图，做出相应的判断和分析报告。</w:t>
      </w:r>
    </w:p>
    <w:p w14:paraId="2C0B60B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2.3 检测通量与仪器数量：≥160瓶位，两台</w:t>
      </w:r>
    </w:p>
    <w:p w14:paraId="0C63A96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2.4 仪器所需的环境条件范围：温度：10 -35℃ ，相对湿度：30% - 85%</w:t>
      </w:r>
    </w:p>
    <w:p w14:paraId="1D8DAD3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2.5 连续振荡恒温培养方式，24小时连续监测培养瓶，每10分钟扫描检测每个瓶位一次，为使用者提供早期检测结果。</w:t>
      </w:r>
    </w:p>
    <w:p w14:paraId="03E7078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2.6 可根据不同的培养需求自行设置检测周期，且每个培养瓶孔位可设定独立不同的培养周期。</w:t>
      </w:r>
    </w:p>
    <w:p w14:paraId="4C04CD1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2.7 检测计算方法包括起始阈值、速率、连续加速度等，具备延迟放瓶功能，最大允许用户延迟48小时放瓶。</w:t>
      </w:r>
    </w:p>
    <w:p w14:paraId="57132B6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2.8 仪器可自动检测，自动校正，自动对阳性及阴性结果提供声、光、色三级报警，自动存储信息。</w:t>
      </w:r>
    </w:p>
    <w:p w14:paraId="403A72E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2.9 平均阳性样本检出时间小于12小时，24小时内阳性检出率近90%，最快检测阳性时间≤4小时。</w:t>
      </w:r>
    </w:p>
    <w:p w14:paraId="7AB5869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2.10 具有装卸条码瓶和匿名瓶两种模式，运行过程中可任意装瓶及实时卸瓶。仪器对匿名瓶的阳性结果仍然进行报告，确保任何阳性结果都能及时报告。</w:t>
      </w:r>
    </w:p>
    <w:p w14:paraId="1683F80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2.11 可提供原厂配套的不同类别血培养瓶，包括但不限于：需氧瓶（成人）、需氧瓶（儿童）、厌氧瓶，并提供SFDA或CFDA注册证。</w:t>
      </w:r>
    </w:p>
    <w:p w14:paraId="60864EC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2.12 培养瓶具有中和抗生素和毒素功能，对临床常用抗生素具有良好的广谱吸附能力，减少假阳性率，不影响后期染色镜检。</w:t>
      </w:r>
    </w:p>
    <w:p w14:paraId="2268902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2.12血培养瓶材质应具备防摔轻便，易于运输，真空定量采血，可高温高压处置，符合实验室生物安全要求。培养瓶瓶身刻度可监控每个培养瓶的实际采血量，确保采血量符合灵敏度和的行业规范要求。</w:t>
      </w:r>
    </w:p>
    <w:p w14:paraId="3465DDC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2.14能够检出常见病原菌、苛养菌和真菌等，包括肺炎链球菌，脑膜炎奈瑟菌，布鲁菌，流感嗜血杆菌，念珠菌，马尔尼菲蓝状菌，丝状真菌等。</w:t>
      </w:r>
    </w:p>
    <w:p w14:paraId="26F6A47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2.15培养瓶保存无特殊环境及温度要求。</w:t>
      </w:r>
    </w:p>
    <w:p w14:paraId="006CC2E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2.16 </w:t>
      </w:r>
      <w:r>
        <w:rPr>
          <w:rFonts w:hint="eastAsia" w:ascii="宋体" w:hAnsi="宋体" w:eastAsia="宋体" w:cs="宋体"/>
          <w:b w:val="0"/>
          <w:bCs w:val="0"/>
          <w:color w:val="auto"/>
          <w:sz w:val="24"/>
          <w:szCs w:val="24"/>
          <w:lang w:val="en-US" w:eastAsia="zh-CN"/>
        </w:rPr>
        <w:t>配备能保证仪器满负荷运转要求（≥1小时）的UPS，并负责维护保养。</w:t>
      </w:r>
    </w:p>
    <w:p w14:paraId="7EF88E46">
      <w:pPr>
        <w:keepNext w:val="0"/>
        <w:keepLines w:val="0"/>
        <w:pageBreakBefore w:val="0"/>
        <w:widowControl w:val="0"/>
        <w:numPr>
          <w:ilvl w:val="0"/>
          <w:numId w:val="0"/>
        </w:numPr>
        <w:kinsoku/>
        <w:wordWrap/>
        <w:overflowPunct/>
        <w:topLinePunct w:val="0"/>
        <w:bidi w:val="0"/>
        <w:snapToGrid/>
        <w:spacing w:line="400" w:lineRule="exact"/>
        <w:jc w:val="both"/>
        <w:textAlignment w:val="auto"/>
        <w:outlineLvl w:val="1"/>
        <w:rPr>
          <w:rFonts w:hint="eastAsia" w:asciiTheme="minorEastAsia" w:hAnsiTheme="minorEastAsia" w:eastAsiaTheme="minorEastAsia" w:cstheme="minorEastAsia"/>
          <w:b/>
          <w:color w:val="auto"/>
          <w:sz w:val="24"/>
          <w:szCs w:val="24"/>
          <w:highlight w:val="none"/>
          <w:lang w:eastAsia="zh-CN"/>
        </w:rPr>
      </w:pPr>
    </w:p>
    <w:p w14:paraId="61EEE5F4">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3.正置荧光显微镜技术参数</w:t>
      </w:r>
    </w:p>
    <w:p w14:paraId="05F1ED3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3.1.荧光激发光波长范围  满足紫外蓝光（340-380nm波长）和紫外光（350-490nm波长），适用于真菌和抗酸杆酸的荧光染色。</w:t>
      </w:r>
    </w:p>
    <w:p w14:paraId="26EC5B1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3.2.荧光激发光源为LED光源，使用寿命内光强稳定、无衰减输出&gt;40,000小时，光源启动后响应时间（达到100%预设强度）纳秒级，即开即用。</w:t>
      </w:r>
    </w:p>
    <w:p w14:paraId="3E97317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3.3.透射光源为卤钨灯，平均使用时长  ≥1000小时，光源可连续调节。</w:t>
      </w:r>
    </w:p>
    <w:p w14:paraId="0F1EAAF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3.4.光学系统为无限远色差校正光学系统，手动物镜转换器，可同时装载4平场消色差个物镜，宽视野目镜2个。</w:t>
      </w:r>
    </w:p>
    <w:p w14:paraId="60FB38F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3.5.摄像系统：彩色300万CMOS,分辨率2048*1536有效像素。</w:t>
      </w:r>
    </w:p>
    <w:p w14:paraId="75DD485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3.6.配套软件系统：镜下荧光图像实时显示，所见即所得；</w:t>
      </w:r>
    </w:p>
    <w:p w14:paraId="548B558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3.7支持多路图像并行处理，支持普通拍摄和高分辨率拍摄功能；</w:t>
      </w:r>
    </w:p>
    <w:p w14:paraId="4CA3A0D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3.8支持多种基于照片的标记批注方式，可以方便地表示图像中的重点关注部位；</w:t>
      </w:r>
    </w:p>
    <w:p w14:paraId="7DC6DCF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3.9可与lis相连，准确快速的生成图文报告。</w:t>
      </w:r>
    </w:p>
    <w:p w14:paraId="0E77F6C1">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58C14E9F">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r>
        <w:rPr>
          <w:rFonts w:hint="default" w:ascii="宋体" w:hAnsi="宋体" w:eastAsia="宋体" w:cs="宋体"/>
          <w:b/>
          <w:bCs/>
          <w:color w:val="auto"/>
          <w:sz w:val="24"/>
          <w:szCs w:val="24"/>
          <w:lang w:val="en-US" w:eastAsia="zh-CN"/>
        </w:rPr>
        <w:t>全自动微生物真菌检测系统技术参数</w:t>
      </w:r>
      <w:r>
        <w:rPr>
          <w:rFonts w:hint="eastAsia" w:ascii="宋体" w:hAnsi="宋体" w:eastAsia="宋体" w:cs="宋体"/>
          <w:b/>
          <w:bCs/>
          <w:color w:val="auto"/>
          <w:sz w:val="24"/>
          <w:szCs w:val="24"/>
          <w:lang w:val="en-US" w:eastAsia="zh-CN"/>
        </w:rPr>
        <w:t>：</w:t>
      </w:r>
    </w:p>
    <w:p w14:paraId="5A90B4C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1仪器结构：全自动</w:t>
      </w:r>
      <w:r>
        <w:rPr>
          <w:rFonts w:hint="eastAsia" w:ascii="宋体" w:hAnsi="宋体" w:eastAsia="宋体" w:cs="宋体"/>
          <w:b w:val="0"/>
          <w:bCs w:val="0"/>
          <w:color w:val="auto"/>
          <w:sz w:val="24"/>
          <w:szCs w:val="24"/>
          <w:lang w:val="en-US" w:eastAsia="zh-CN"/>
        </w:rPr>
        <w:t>仪器</w:t>
      </w: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全</w:t>
      </w:r>
      <w:r>
        <w:rPr>
          <w:rFonts w:hint="default" w:ascii="宋体" w:hAnsi="宋体" w:eastAsia="宋体" w:cs="宋体"/>
          <w:b w:val="0"/>
          <w:bCs w:val="0"/>
          <w:color w:val="auto"/>
          <w:sz w:val="24"/>
          <w:szCs w:val="24"/>
          <w:lang w:val="en-US" w:eastAsia="zh-CN"/>
        </w:rPr>
        <w:t>自动完成</w:t>
      </w:r>
      <w:r>
        <w:rPr>
          <w:rFonts w:hint="eastAsia" w:ascii="宋体" w:hAnsi="宋体" w:eastAsia="宋体" w:cs="宋体"/>
          <w:b w:val="0"/>
          <w:bCs w:val="0"/>
          <w:color w:val="auto"/>
          <w:sz w:val="24"/>
          <w:szCs w:val="24"/>
          <w:lang w:val="en-US" w:eastAsia="zh-CN"/>
        </w:rPr>
        <w:t>样本前处理、</w:t>
      </w:r>
      <w:r>
        <w:rPr>
          <w:rFonts w:hint="default" w:ascii="宋体" w:hAnsi="宋体" w:eastAsia="宋体" w:cs="宋体"/>
          <w:b w:val="0"/>
          <w:bCs w:val="0"/>
          <w:color w:val="auto"/>
          <w:sz w:val="24"/>
          <w:szCs w:val="24"/>
          <w:lang w:val="en-US" w:eastAsia="zh-CN"/>
        </w:rPr>
        <w:t>加样、检测、报告等试验过程。</w:t>
      </w:r>
    </w:p>
    <w:p w14:paraId="57F5CD0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2加样系统：可进行单次或连续</w:t>
      </w:r>
      <w:r>
        <w:rPr>
          <w:rFonts w:hint="eastAsia" w:ascii="宋体" w:hAnsi="宋体" w:eastAsia="宋体" w:cs="宋体"/>
          <w:b w:val="0"/>
          <w:bCs w:val="0"/>
          <w:color w:val="auto"/>
          <w:sz w:val="24"/>
          <w:szCs w:val="24"/>
          <w:lang w:val="en-US" w:eastAsia="zh-CN"/>
        </w:rPr>
        <w:t>加</w:t>
      </w:r>
      <w:r>
        <w:rPr>
          <w:rFonts w:hint="default" w:ascii="宋体" w:hAnsi="宋体" w:eastAsia="宋体" w:cs="宋体"/>
          <w:b w:val="0"/>
          <w:bCs w:val="0"/>
          <w:color w:val="auto"/>
          <w:sz w:val="24"/>
          <w:szCs w:val="24"/>
          <w:lang w:val="en-US" w:eastAsia="zh-CN"/>
        </w:rPr>
        <w:t>液；使用一次性加样</w:t>
      </w:r>
      <w:r>
        <w:rPr>
          <w:rFonts w:hint="eastAsia" w:ascii="宋体" w:hAnsi="宋体" w:eastAsia="宋体" w:cs="宋体"/>
          <w:b w:val="0"/>
          <w:bCs w:val="0"/>
          <w:color w:val="auto"/>
          <w:sz w:val="24"/>
          <w:szCs w:val="24"/>
          <w:lang w:val="en-US" w:eastAsia="zh-CN"/>
        </w:rPr>
        <w:t>吸头</w:t>
      </w:r>
      <w:r>
        <w:rPr>
          <w:rFonts w:hint="default" w:ascii="宋体" w:hAnsi="宋体" w:eastAsia="宋体" w:cs="宋体"/>
          <w:b w:val="0"/>
          <w:bCs w:val="0"/>
          <w:color w:val="auto"/>
          <w:sz w:val="24"/>
          <w:szCs w:val="24"/>
          <w:lang w:val="en-US" w:eastAsia="zh-CN"/>
        </w:rPr>
        <w:t>；</w:t>
      </w:r>
    </w:p>
    <w:p w14:paraId="10067E2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3样本位和试剂位：有独立的样本位和试剂位。</w:t>
      </w:r>
    </w:p>
    <w:p w14:paraId="21BEFD0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4检测项目：真菌(1,3)-β-D 葡聚糖检测（G 试验）、曲霉半乳甘露聚糖检测（GM 试验）、内毒素检测等。</w:t>
      </w:r>
    </w:p>
    <w:p w14:paraId="45221BE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p>
    <w:p w14:paraId="5245B7CD">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.全自动血栓弹力图检测仪要求</w:t>
      </w:r>
    </w:p>
    <w:p w14:paraId="4765034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1用途：用于全血凝血过程动态监测，通过凝血纤溶全貌的描记，能在一次检测中完成对凝血因子功能、纤维蛋白原功能、血小板功能、纤维蛋白溶解功能的检测，分析患者凝血功能的变化监测（区分正常、高凝、低凝），快速诊断DIC，区分原发性纤溶亢进和继发性纤溶亢进。</w:t>
      </w:r>
    </w:p>
    <w:p w14:paraId="1269C78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.2检测通道：完全独立的检测通道≥8个，所有通道检测时互相不影响。</w:t>
      </w:r>
    </w:p>
    <w:p w14:paraId="29E756D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.3通道性能：稳定性相对偏移≤±10％，批内测试重复性CV≤10％</w:t>
      </w:r>
    </w:p>
    <w:p w14:paraId="58A2AFB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.4样本要求：枸橼酸全血、肝素凝血全血，每次检测全血用量≤0.36ml</w:t>
      </w:r>
    </w:p>
    <w:p w14:paraId="0F54675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.5输出参数：至少包括ACT、R、K、Angle、MA、Ly30、EPL、A30、AA抑制率、ADP抑制率等参数</w:t>
      </w:r>
    </w:p>
    <w:p w14:paraId="17D7615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.6准确性：血凝时间（R）、血块强度（MA）、血凝速率（Angle）的相对偏差应≤10％</w:t>
      </w:r>
    </w:p>
    <w:p w14:paraId="42A7A2F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.7采用原始采血管上机，自动扫描，自动混匀，自动加样，自动完成检测，无需人工干预。</w:t>
      </w:r>
    </w:p>
    <w:p w14:paraId="388B79E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zh-TW"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lang w:val="zh-TW" w:eastAsia="zh-CN"/>
        </w:rPr>
        <w:t>检测功能</w:t>
      </w:r>
      <w:r>
        <w:rPr>
          <w:rFonts w:hint="eastAsia" w:ascii="宋体" w:hAnsi="宋体" w:eastAsia="宋体" w:cs="宋体"/>
          <w:b w:val="0"/>
          <w:bCs w:val="0"/>
          <w:color w:val="auto"/>
          <w:sz w:val="24"/>
          <w:szCs w:val="24"/>
          <w:lang w:val="en-US" w:eastAsia="zh-CN"/>
        </w:rPr>
        <w:t>包括但不限于</w:t>
      </w:r>
      <w:r>
        <w:rPr>
          <w:rFonts w:hint="eastAsia" w:ascii="宋体" w:hAnsi="宋体" w:eastAsia="宋体" w:cs="宋体"/>
          <w:b w:val="0"/>
          <w:bCs w:val="0"/>
          <w:color w:val="auto"/>
          <w:sz w:val="24"/>
          <w:szCs w:val="24"/>
          <w:lang w:val="zh-TW" w:eastAsia="zh-CN"/>
        </w:rPr>
        <w:t>：高岭土检测（凝固法）、肝素酶杯检测、血小板图检测（凝固法）、快速TEG检测（凝固法）、功能性纤维蛋白原检测（凝固法）。</w:t>
      </w:r>
    </w:p>
    <w:p w14:paraId="0C7613F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.9支持LIS双向通讯。</w:t>
      </w:r>
    </w:p>
    <w:p w14:paraId="1615054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sz w:val="24"/>
          <w:szCs w:val="24"/>
          <w:lang w:val="en-US" w:eastAsia="zh-CN"/>
        </w:rPr>
      </w:pPr>
    </w:p>
    <w:p w14:paraId="309641A1">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r>
        <w:rPr>
          <w:rFonts w:hint="default" w:ascii="宋体" w:hAnsi="宋体" w:eastAsia="宋体" w:cs="宋体"/>
          <w:b/>
          <w:bCs/>
          <w:color w:val="auto"/>
          <w:sz w:val="24"/>
          <w:szCs w:val="24"/>
          <w:lang w:val="en-US" w:eastAsia="zh-CN"/>
        </w:rPr>
        <w:t>.自身免疫检验配套检测</w:t>
      </w:r>
      <w:r>
        <w:rPr>
          <w:rFonts w:hint="eastAsia" w:ascii="宋体" w:hAnsi="宋体" w:eastAsia="宋体" w:cs="宋体"/>
          <w:b/>
          <w:bCs/>
          <w:color w:val="auto"/>
          <w:sz w:val="24"/>
          <w:szCs w:val="24"/>
          <w:lang w:val="en-US" w:eastAsia="zh-CN"/>
        </w:rPr>
        <w:t>服务</w:t>
      </w:r>
      <w:r>
        <w:rPr>
          <w:rFonts w:hint="default" w:ascii="宋体" w:hAnsi="宋体" w:eastAsia="宋体" w:cs="宋体"/>
          <w:b/>
          <w:bCs/>
          <w:color w:val="auto"/>
          <w:sz w:val="24"/>
          <w:szCs w:val="24"/>
          <w:lang w:val="en-US" w:eastAsia="zh-CN"/>
        </w:rPr>
        <w:t>平台要求</w:t>
      </w:r>
    </w:p>
    <w:p w14:paraId="426924A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6.1检测平台为全自动设备，实现原始管上机，自动加样，自动检测，自动判读。可提供多品牌仪器组合方式以满足采购清单里的所有检测项目，但仪器不能超过三台。</w:t>
      </w:r>
    </w:p>
    <w:p w14:paraId="05D8377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6.2 单台仪器</w:t>
      </w:r>
      <w:r>
        <w:rPr>
          <w:rFonts w:hint="default" w:ascii="宋体" w:hAnsi="宋体" w:eastAsia="宋体" w:cs="宋体"/>
          <w:b w:val="0"/>
          <w:bCs w:val="0"/>
          <w:color w:val="auto"/>
          <w:sz w:val="24"/>
          <w:szCs w:val="24"/>
          <w:lang w:val="en-US" w:eastAsia="zh-CN"/>
        </w:rPr>
        <w:t>检测速度:</w:t>
      </w:r>
      <w:r>
        <w:rPr>
          <w:rFonts w:hint="eastAsia" w:ascii="宋体" w:hAnsi="宋体" w:eastAsia="宋体" w:cs="宋体"/>
          <w:b w:val="0"/>
          <w:bCs w:val="0"/>
          <w:color w:val="auto"/>
          <w:sz w:val="24"/>
          <w:szCs w:val="24"/>
          <w:lang w:val="en-US" w:eastAsia="zh-CN"/>
        </w:rPr>
        <w:t>≥300</w:t>
      </w:r>
      <w:r>
        <w:rPr>
          <w:rFonts w:hint="default" w:ascii="宋体" w:hAnsi="宋体" w:eastAsia="宋体" w:cs="宋体"/>
          <w:b w:val="0"/>
          <w:bCs w:val="0"/>
          <w:color w:val="auto"/>
          <w:sz w:val="24"/>
          <w:szCs w:val="24"/>
          <w:lang w:val="en-US" w:eastAsia="zh-CN"/>
        </w:rPr>
        <w:t>T/</w:t>
      </w:r>
      <w:r>
        <w:rPr>
          <w:rFonts w:hint="eastAsia" w:ascii="宋体" w:hAnsi="宋体" w:eastAsia="宋体" w:cs="宋体"/>
          <w:b w:val="0"/>
          <w:bCs w:val="0"/>
          <w:color w:val="auto"/>
          <w:sz w:val="24"/>
          <w:szCs w:val="24"/>
          <w:lang w:val="en-US" w:eastAsia="zh-CN"/>
        </w:rPr>
        <w:t>小时。</w:t>
      </w:r>
    </w:p>
    <w:p w14:paraId="3203E2D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6.3 检测方法</w:t>
      </w: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化学发光法、流式荧光法或免疫印迹法。</w:t>
      </w:r>
    </w:p>
    <w:p w14:paraId="0D7CA98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6.4 冷藏（2-8℃）试剂位，具备温控报警；可不停机装载试剂、反应杯等耗材。</w:t>
      </w:r>
    </w:p>
    <w:p w14:paraId="2390813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★6.5 吸样系统：具备液面检测、气泡探测、凝块探测功能、标本携带污染率《1.0ppm。</w:t>
      </w:r>
    </w:p>
    <w:p w14:paraId="6BECB9E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6.6 </w:t>
      </w:r>
      <w:r>
        <w:rPr>
          <w:rFonts w:hint="default" w:ascii="宋体" w:hAnsi="宋体" w:eastAsia="宋体" w:cs="宋体"/>
          <w:b w:val="0"/>
          <w:bCs w:val="0"/>
          <w:color w:val="auto"/>
          <w:sz w:val="24"/>
          <w:szCs w:val="24"/>
          <w:lang w:val="en-US" w:eastAsia="zh-CN"/>
        </w:rPr>
        <w:t>可随时插入急诊样本</w:t>
      </w:r>
      <w:r>
        <w:rPr>
          <w:rFonts w:hint="eastAsia" w:ascii="宋体" w:hAnsi="宋体" w:eastAsia="宋体" w:cs="宋体"/>
          <w:b w:val="0"/>
          <w:bCs w:val="0"/>
          <w:color w:val="auto"/>
          <w:sz w:val="24"/>
          <w:szCs w:val="24"/>
          <w:lang w:val="en-US" w:eastAsia="zh-CN"/>
        </w:rPr>
        <w:t>，随到随检。</w:t>
      </w:r>
    </w:p>
    <w:p w14:paraId="085B11C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6.7 具备自动稀释自动重新测功能。</w:t>
      </w:r>
    </w:p>
    <w:p w14:paraId="3FC43BF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6.8 定量校准品可溯源至国际标准</w:t>
      </w:r>
    </w:p>
    <w:p w14:paraId="5BFDBAF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6.9 可提供相应的复合质控品。</w:t>
      </w:r>
    </w:p>
    <w:p w14:paraId="623A860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6.10 支持LIS双向通讯</w:t>
      </w:r>
    </w:p>
    <w:p w14:paraId="264B965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6.11 实现样本直接扫码上机检测。</w:t>
      </w:r>
    </w:p>
    <w:p w14:paraId="2C2A71A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6.12 在国家卫健委室间质评或安徽省室间质评中有单独分组（提供室间质评报告）</w:t>
      </w:r>
    </w:p>
    <w:p w14:paraId="428B6B5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6.13  </w:t>
      </w:r>
      <w:r>
        <w:rPr>
          <w:rFonts w:hint="default" w:ascii="宋体" w:hAnsi="宋体" w:eastAsia="宋体" w:cs="宋体"/>
          <w:b w:val="0"/>
          <w:bCs w:val="0"/>
          <w:color w:val="auto"/>
          <w:sz w:val="24"/>
          <w:szCs w:val="24"/>
          <w:lang w:val="en-US" w:eastAsia="zh-CN"/>
        </w:rPr>
        <w:t>配备水处理系统和UPS（≥1小时），水处理产水量和UPS容量均能保证仪器满负荷运转要求</w:t>
      </w:r>
      <w:r>
        <w:rPr>
          <w:rFonts w:hint="eastAsia" w:ascii="宋体" w:hAnsi="宋体" w:eastAsia="宋体" w:cs="宋体"/>
          <w:b w:val="0"/>
          <w:bCs w:val="0"/>
          <w:color w:val="auto"/>
          <w:sz w:val="24"/>
          <w:szCs w:val="24"/>
          <w:lang w:val="en-US" w:eastAsia="zh-CN"/>
        </w:rPr>
        <w:t>，并负责耗材更换和维护保养。</w:t>
      </w:r>
    </w:p>
    <w:p w14:paraId="31B81C3C">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0B57AA4F">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r>
        <w:rPr>
          <w:rFonts w:hint="default" w:ascii="宋体" w:hAnsi="宋体" w:eastAsia="宋体" w:cs="宋体"/>
          <w:b/>
          <w:bCs/>
          <w:color w:val="auto"/>
          <w:sz w:val="24"/>
          <w:szCs w:val="24"/>
          <w:lang w:val="en-US" w:eastAsia="zh-CN"/>
        </w:rPr>
        <w:t>全自动生化分析仪</w:t>
      </w:r>
      <w:r>
        <w:rPr>
          <w:rFonts w:hint="eastAsia" w:ascii="宋体" w:hAnsi="宋体" w:eastAsia="宋体" w:cs="宋体"/>
          <w:b/>
          <w:bCs/>
          <w:color w:val="auto"/>
          <w:sz w:val="24"/>
          <w:szCs w:val="24"/>
          <w:lang w:val="en-US" w:eastAsia="zh-CN"/>
        </w:rPr>
        <w:t>要求：</w:t>
      </w:r>
    </w:p>
    <w:p w14:paraId="3229E25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★7.1</w:t>
      </w:r>
      <w:r>
        <w:rPr>
          <w:rFonts w:hint="default" w:ascii="宋体" w:hAnsi="宋体" w:eastAsia="宋体" w:cs="宋体"/>
          <w:b w:val="0"/>
          <w:bCs w:val="0"/>
          <w:color w:val="auto"/>
          <w:sz w:val="24"/>
          <w:szCs w:val="24"/>
          <w:lang w:val="en-US" w:eastAsia="zh-CN"/>
        </w:rPr>
        <w:t>工作速度：≥ 1</w:t>
      </w:r>
      <w:r>
        <w:rPr>
          <w:rFonts w:hint="eastAsia" w:ascii="宋体" w:hAnsi="宋体" w:eastAsia="宋体" w:cs="宋体"/>
          <w:b w:val="0"/>
          <w:bCs w:val="0"/>
          <w:color w:val="auto"/>
          <w:sz w:val="24"/>
          <w:szCs w:val="24"/>
          <w:lang w:val="en-US" w:eastAsia="zh-CN"/>
        </w:rPr>
        <w:t>2</w:t>
      </w:r>
      <w:r>
        <w:rPr>
          <w:rFonts w:hint="default" w:ascii="宋体" w:hAnsi="宋体" w:eastAsia="宋体" w:cs="宋体"/>
          <w:b w:val="0"/>
          <w:bCs w:val="0"/>
          <w:color w:val="auto"/>
          <w:sz w:val="24"/>
          <w:szCs w:val="24"/>
          <w:lang w:val="en-US" w:eastAsia="zh-CN"/>
        </w:rPr>
        <w:t>00测试/小时</w:t>
      </w:r>
      <w:r>
        <w:rPr>
          <w:rFonts w:hint="eastAsia" w:ascii="宋体" w:hAnsi="宋体" w:eastAsia="宋体" w:cs="宋体"/>
          <w:b w:val="0"/>
          <w:bCs w:val="0"/>
          <w:color w:val="auto"/>
          <w:sz w:val="24"/>
          <w:szCs w:val="24"/>
          <w:lang w:val="en-US" w:eastAsia="zh-CN"/>
        </w:rPr>
        <w:t>，标配电解质模块。</w:t>
      </w:r>
    </w:p>
    <w:p w14:paraId="20245BB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7.2</w:t>
      </w:r>
      <w:r>
        <w:rPr>
          <w:rFonts w:hint="default" w:ascii="宋体" w:hAnsi="宋体" w:eastAsia="宋体" w:cs="宋体"/>
          <w:b w:val="0"/>
          <w:bCs w:val="0"/>
          <w:color w:val="auto"/>
          <w:sz w:val="24"/>
          <w:szCs w:val="24"/>
          <w:lang w:val="en-US" w:eastAsia="zh-CN"/>
        </w:rPr>
        <w:t>分光器：蚀刻凹面光栅、后分光系统。光源使用寿命≥1000小时</w:t>
      </w:r>
      <w:r>
        <w:rPr>
          <w:rFonts w:hint="eastAsia" w:ascii="宋体" w:hAnsi="宋体" w:eastAsia="宋体" w:cs="宋体"/>
          <w:b w:val="0"/>
          <w:bCs w:val="0"/>
          <w:color w:val="auto"/>
          <w:sz w:val="24"/>
          <w:szCs w:val="24"/>
          <w:lang w:val="en-US" w:eastAsia="zh-CN"/>
        </w:rPr>
        <w:t>。</w:t>
      </w:r>
    </w:p>
    <w:p w14:paraId="6F2F897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w:t>
      </w:r>
      <w:r>
        <w:rPr>
          <w:rFonts w:hint="default" w:ascii="宋体" w:hAnsi="宋体" w:eastAsia="宋体" w:cs="宋体"/>
          <w:b w:val="0"/>
          <w:bCs w:val="0"/>
          <w:color w:val="auto"/>
          <w:sz w:val="24"/>
          <w:szCs w:val="24"/>
          <w:lang w:val="en-US" w:eastAsia="zh-CN"/>
        </w:rPr>
        <w:t>3检测波长：单波长、双波长检测，波长范围340-800nm，波长≥12个。</w:t>
      </w:r>
    </w:p>
    <w:p w14:paraId="195F4B2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w:t>
      </w:r>
      <w:r>
        <w:rPr>
          <w:rFonts w:hint="default" w:ascii="宋体" w:hAnsi="宋体" w:eastAsia="宋体" w:cs="宋体"/>
          <w:b w:val="0"/>
          <w:bCs w:val="0"/>
          <w:color w:val="auto"/>
          <w:sz w:val="24"/>
          <w:szCs w:val="24"/>
          <w:lang w:val="en-US" w:eastAsia="zh-CN"/>
        </w:rPr>
        <w:t>4反应方法：终点法，速率法，固定时间法等。反应时间：测试项目反应时间可选。反应温度：控制精度37℃±0.1℃。</w:t>
      </w:r>
    </w:p>
    <w:p w14:paraId="5C0CF06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7.5</w:t>
      </w:r>
      <w:r>
        <w:rPr>
          <w:rFonts w:hint="default" w:ascii="宋体" w:hAnsi="宋体" w:eastAsia="宋体" w:cs="宋体"/>
          <w:b w:val="0"/>
          <w:bCs w:val="0"/>
          <w:color w:val="auto"/>
          <w:sz w:val="24"/>
          <w:szCs w:val="24"/>
          <w:lang w:val="en-US" w:eastAsia="zh-CN"/>
        </w:rPr>
        <w:t>可以监测整个反应过程，随时查阅到反应曲线</w:t>
      </w:r>
      <w:r>
        <w:rPr>
          <w:rFonts w:hint="eastAsia" w:ascii="宋体" w:hAnsi="宋体" w:eastAsia="宋体" w:cs="宋体"/>
          <w:b w:val="0"/>
          <w:bCs w:val="0"/>
          <w:color w:val="auto"/>
          <w:sz w:val="24"/>
          <w:szCs w:val="24"/>
          <w:lang w:val="en-US" w:eastAsia="zh-CN"/>
        </w:rPr>
        <w:t>；</w:t>
      </w:r>
      <w:r>
        <w:rPr>
          <w:rFonts w:hint="default" w:ascii="宋体" w:hAnsi="宋体" w:eastAsia="宋体" w:cs="宋体"/>
          <w:b w:val="0"/>
          <w:bCs w:val="0"/>
          <w:color w:val="auto"/>
          <w:sz w:val="24"/>
          <w:szCs w:val="24"/>
          <w:lang w:val="en-US" w:eastAsia="zh-CN"/>
        </w:rPr>
        <w:t>具有自动复查功能，能提供手工、自动复查方式。,超线性范围样品能自动稀释重检。</w:t>
      </w:r>
    </w:p>
    <w:p w14:paraId="24A588F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7.6</w:t>
      </w:r>
      <w:r>
        <w:rPr>
          <w:rFonts w:hint="default" w:ascii="宋体" w:hAnsi="宋体" w:eastAsia="宋体" w:cs="宋体"/>
          <w:b w:val="0"/>
          <w:bCs w:val="0"/>
          <w:color w:val="auto"/>
          <w:sz w:val="24"/>
          <w:szCs w:val="24"/>
          <w:lang w:val="en-US" w:eastAsia="zh-CN"/>
        </w:rPr>
        <w:t>样本条码：具有条码阅读器，可在每个连接单元对标本管条码进行自动扫描、注册、识别，具有全程跟踪样本管的能力, 条码阅读器可识别各种国际标准条码。</w:t>
      </w:r>
    </w:p>
    <w:p w14:paraId="6DD71A8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★7.7</w:t>
      </w:r>
      <w:r>
        <w:rPr>
          <w:rFonts w:hint="default" w:ascii="宋体" w:hAnsi="宋体" w:eastAsia="宋体" w:cs="宋体"/>
          <w:b w:val="0"/>
          <w:bCs w:val="0"/>
          <w:color w:val="auto"/>
          <w:sz w:val="24"/>
          <w:szCs w:val="24"/>
          <w:lang w:val="en-US" w:eastAsia="zh-CN"/>
        </w:rPr>
        <w:t>独立的样本针、试剂针、搅拌针。样本针、试剂针有内外壁自动冲洗、液面感应、自动安全防撞功能。样本针具备凝块识别功能。具有比色杯自动清洗功能。</w:t>
      </w:r>
    </w:p>
    <w:p w14:paraId="3634B2F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7.8</w:t>
      </w:r>
      <w:r>
        <w:rPr>
          <w:rFonts w:hint="default" w:ascii="宋体" w:hAnsi="宋体" w:eastAsia="宋体" w:cs="宋体"/>
          <w:b w:val="0"/>
          <w:bCs w:val="0"/>
          <w:color w:val="auto"/>
          <w:sz w:val="24"/>
          <w:szCs w:val="24"/>
          <w:lang w:val="en-US" w:eastAsia="zh-CN"/>
        </w:rPr>
        <w:t>检测样品种类：可检测血清、血浆、尿液、胸腹水、脑脊液等。具有急诊随时插入功能，插入急诊后能够快速得出检测结果。</w:t>
      </w:r>
    </w:p>
    <w:p w14:paraId="2979759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7.9</w:t>
      </w:r>
      <w:r>
        <w:rPr>
          <w:rFonts w:hint="default" w:ascii="宋体" w:hAnsi="宋体" w:eastAsia="宋体" w:cs="宋体"/>
          <w:b w:val="0"/>
          <w:bCs w:val="0"/>
          <w:color w:val="auto"/>
          <w:sz w:val="24"/>
          <w:szCs w:val="24"/>
          <w:lang w:val="en-US" w:eastAsia="zh-CN"/>
        </w:rPr>
        <w:t>配备水处理系统和UPS（≥1小时），水处理产水量和UPS容量均能保证仪器满负荷运转要求</w:t>
      </w:r>
      <w:r>
        <w:rPr>
          <w:rFonts w:hint="eastAsia" w:ascii="宋体" w:hAnsi="宋体" w:eastAsia="宋体" w:cs="宋体"/>
          <w:b w:val="0"/>
          <w:bCs w:val="0"/>
          <w:color w:val="auto"/>
          <w:sz w:val="24"/>
          <w:szCs w:val="24"/>
          <w:lang w:val="en-US" w:eastAsia="zh-CN"/>
        </w:rPr>
        <w:t>，并负责耗材更换和维护。</w:t>
      </w:r>
    </w:p>
    <w:p w14:paraId="17877CA4">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p>
    <w:p w14:paraId="2F3C74C8">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 免疫分析仪器技术参数</w:t>
      </w:r>
    </w:p>
    <w:p w14:paraId="5D74CEE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8.1 方法学：</w:t>
      </w:r>
      <w:r>
        <w:rPr>
          <w:rFonts w:hint="eastAsia" w:ascii="宋体" w:hAnsi="宋体" w:cs="宋体"/>
          <w:b w:val="0"/>
          <w:bCs w:val="0"/>
          <w:color w:val="auto"/>
          <w:sz w:val="24"/>
          <w:szCs w:val="24"/>
          <w:lang w:val="en-US" w:eastAsia="zh-CN"/>
        </w:rPr>
        <w:t>干式</w:t>
      </w:r>
      <w:r>
        <w:rPr>
          <w:rFonts w:hint="eastAsia" w:ascii="宋体" w:hAnsi="宋体" w:eastAsia="宋体" w:cs="宋体"/>
          <w:b w:val="0"/>
          <w:bCs w:val="0"/>
          <w:color w:val="auto"/>
          <w:sz w:val="24"/>
          <w:szCs w:val="24"/>
          <w:lang w:val="en-US" w:eastAsia="zh-CN"/>
        </w:rPr>
        <w:t>免疫</w:t>
      </w:r>
      <w:r>
        <w:rPr>
          <w:rFonts w:hint="eastAsia" w:ascii="宋体" w:hAnsi="宋体" w:cs="宋体"/>
          <w:b w:val="0"/>
          <w:bCs w:val="0"/>
          <w:color w:val="auto"/>
          <w:sz w:val="24"/>
          <w:szCs w:val="24"/>
          <w:lang w:val="en-US" w:eastAsia="zh-CN"/>
        </w:rPr>
        <w:t>分析或免疫层析定量分析等</w:t>
      </w:r>
      <w:r>
        <w:rPr>
          <w:rFonts w:hint="eastAsia" w:ascii="宋体" w:hAnsi="宋体" w:eastAsia="宋体" w:cs="宋体"/>
          <w:b w:val="0"/>
          <w:bCs w:val="0"/>
          <w:color w:val="auto"/>
          <w:sz w:val="24"/>
          <w:szCs w:val="24"/>
          <w:lang w:val="en-US" w:eastAsia="zh-CN"/>
        </w:rPr>
        <w:t>方法</w:t>
      </w:r>
    </w:p>
    <w:p w14:paraId="0958AC7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★8.2 样本类型：全血，血清，血浆，末梢血及预稀释标本。</w:t>
      </w:r>
    </w:p>
    <w:p w14:paraId="4E3DA21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★8.3 检测项目：HBP、PCT、CRP、SAA、IL-6、HCG、NGAL等。</w:t>
      </w:r>
    </w:p>
    <w:p w14:paraId="613D395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8.4 生物安全度高，全程封闭操作，钢针穿刺取样无需开盖，有效避免气溶胶污染，混匀无需开盖，封闭式废料仓，进一步保障检验实验室安全性。</w:t>
      </w:r>
    </w:p>
    <w:p w14:paraId="3FC97C4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8.5 测试速度：》100T/h，最快4min出报告。</w:t>
      </w:r>
    </w:p>
    <w:p w14:paraId="7503BD2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8.6 加样精度：CV≤2%；交叉污染＜10ppm。</w:t>
      </w:r>
    </w:p>
    <w:p w14:paraId="0BE3B18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8.7 支持LIS双向通讯</w:t>
      </w:r>
    </w:p>
    <w:p w14:paraId="34E8CD68">
      <w:pPr>
        <w:rPr>
          <w:rFonts w:hint="eastAsia" w:ascii="宋体" w:hAnsi="宋体" w:eastAsia="宋体" w:cs="宋体"/>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3E5AE"/>
    <w:multiLevelType w:val="singleLevel"/>
    <w:tmpl w:val="AB13E5A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2NjQyMTRjMTBiODQwY2UzNDFjNmM1MTQ0Y2Y0OWEifQ=="/>
  </w:docVars>
  <w:rsids>
    <w:rsidRoot w:val="23C91902"/>
    <w:rsid w:val="004C76A8"/>
    <w:rsid w:val="02D65933"/>
    <w:rsid w:val="0BB6592A"/>
    <w:rsid w:val="0C4760BB"/>
    <w:rsid w:val="1C2A561D"/>
    <w:rsid w:val="23C91902"/>
    <w:rsid w:val="27B24993"/>
    <w:rsid w:val="37145AC7"/>
    <w:rsid w:val="4A426150"/>
    <w:rsid w:val="58333178"/>
    <w:rsid w:val="62152F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adjustRightInd w:val="0"/>
      <w:spacing w:after="120" w:afterLines="0" w:line="360" w:lineRule="atLeast"/>
      <w:ind w:left="420" w:leftChars="200"/>
      <w:jc w:val="left"/>
      <w:textAlignment w:val="baseline"/>
    </w:pPr>
    <w:rPr>
      <w:kern w:val="0"/>
      <w:sz w:val="24"/>
      <w:szCs w:val="20"/>
    </w:rPr>
  </w:style>
  <w:style w:type="paragraph" w:styleId="3">
    <w:name w:val="Body Text First Indent 2"/>
    <w:basedOn w:val="2"/>
    <w:unhideWhenUsed/>
    <w:qFormat/>
    <w:uiPriority w:val="99"/>
    <w:pPr>
      <w:ind w:firstLine="420" w:firstLine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5954</Words>
  <Characters>6670</Characters>
  <Lines>0</Lines>
  <Paragraphs>0</Paragraphs>
  <TotalTime>26</TotalTime>
  <ScaleCrop>false</ScaleCrop>
  <LinksUpToDate>false</LinksUpToDate>
  <CharactersWithSpaces>6755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2024-06-20T08:14:00Z</dcterms:created>
  <dc:creator>WPS_1674098959</dc:creator>
  <cp:lastModifiedBy>曹焱</cp:lastModifiedBy>
  <dcterms:modified xsi:type="dcterms:W3CDTF">2024-09-27T07:30:55Z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FE9DFBE5A6F1430A886480DB0D088533_13</vt:lpwstr>
  </property>
</Properties>
</file>