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506C1">
      <w:pPr>
        <w:spacing w:line="320" w:lineRule="exact"/>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附件：拟购六安市中医院医保药品耗材追溯码系统项目</w:t>
      </w:r>
    </w:p>
    <w:p w14:paraId="1A5BCEB7">
      <w:pPr>
        <w:spacing w:line="320" w:lineRule="exact"/>
        <w:jc w:val="center"/>
        <w:rPr>
          <w:rFonts w:ascii="仿宋" w:hAnsi="仿宋" w:eastAsia="仿宋"/>
          <w:sz w:val="32"/>
          <w:szCs w:val="32"/>
        </w:rPr>
      </w:pPr>
      <w:r>
        <w:rPr>
          <w:rFonts w:hint="eastAsia" w:asciiTheme="majorEastAsia" w:hAnsiTheme="majorEastAsia" w:eastAsiaTheme="majorEastAsia"/>
          <w:b/>
          <w:sz w:val="32"/>
          <w:szCs w:val="32"/>
        </w:rPr>
        <w:t>初步参数论证征集意见表</w:t>
      </w:r>
    </w:p>
    <w:p w14:paraId="7ADE7657">
      <w:pPr>
        <w:spacing w:line="320" w:lineRule="exact"/>
        <w:rPr>
          <w:rFonts w:ascii="仿宋" w:hAnsi="仿宋" w:eastAsia="仿宋"/>
          <w:sz w:val="24"/>
          <w:szCs w:val="24"/>
        </w:rPr>
      </w:pPr>
    </w:p>
    <w:p w14:paraId="0E9FF024">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u w:val="single"/>
        </w:rPr>
      </w:pPr>
      <w:r>
        <w:rPr>
          <w:rFonts w:hint="eastAsia" w:ascii="仿宋" w:hAnsi="仿宋" w:eastAsia="仿宋"/>
          <w:szCs w:val="21"/>
        </w:rPr>
        <w:t>供应商、联系人及电话（加盖公章）：</w:t>
      </w:r>
      <w:r>
        <w:rPr>
          <w:rFonts w:hint="eastAsia" w:ascii="仿宋" w:hAnsi="仿宋" w:eastAsia="仿宋"/>
          <w:szCs w:val="21"/>
          <w:u w:val="single"/>
        </w:rPr>
        <w:t xml:space="preserve">                                                      </w:t>
      </w:r>
    </w:p>
    <w:p w14:paraId="10AB28BB">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u w:val="single"/>
        </w:rPr>
      </w:pPr>
      <w:r>
        <w:rPr>
          <w:rFonts w:hint="eastAsia" w:ascii="仿宋" w:hAnsi="仿宋" w:eastAsia="仿宋"/>
          <w:szCs w:val="21"/>
        </w:rPr>
        <w:t>产品品牌、规格型号、产地、医疗器械注册证号及最低报价：</w:t>
      </w:r>
      <w:r>
        <w:rPr>
          <w:rFonts w:hint="eastAsia" w:ascii="仿宋" w:hAnsi="仿宋" w:eastAsia="仿宋"/>
          <w:szCs w:val="21"/>
          <w:u w:val="single"/>
        </w:rPr>
        <w:t xml:space="preserve">                                 </w:t>
      </w:r>
    </w:p>
    <w:p w14:paraId="6821FC4C">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仿宋" w:hAnsi="仿宋" w:eastAsia="仿宋"/>
          <w:b/>
          <w:szCs w:val="21"/>
        </w:rPr>
      </w:pPr>
      <w:r>
        <w:rPr>
          <w:rFonts w:hint="eastAsia" w:ascii="仿宋" w:hAnsi="仿宋" w:eastAsia="仿宋"/>
          <w:b/>
          <w:szCs w:val="21"/>
        </w:rPr>
        <w:t>备注：</w:t>
      </w:r>
    </w:p>
    <w:p w14:paraId="20482C6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仿宋" w:hAnsi="仿宋" w:eastAsia="仿宋"/>
          <w:szCs w:val="21"/>
        </w:rPr>
      </w:pPr>
      <w:r>
        <w:rPr>
          <w:rFonts w:hint="eastAsia" w:ascii="仿宋" w:hAnsi="仿宋" w:eastAsia="仿宋"/>
          <w:szCs w:val="21"/>
        </w:rPr>
        <w:t>1、按要求格式填写并每页加盖报名供应商公章【电子章无效】，在规定时间内以</w:t>
      </w:r>
      <w:r>
        <w:rPr>
          <w:rFonts w:hint="eastAsia" w:ascii="仿宋" w:hAnsi="仿宋" w:eastAsia="仿宋"/>
          <w:b/>
          <w:szCs w:val="21"/>
        </w:rPr>
        <w:t>原件扫描件和电子版形式</w:t>
      </w:r>
      <w:r>
        <w:rPr>
          <w:rFonts w:hint="eastAsia" w:ascii="仿宋" w:hAnsi="仿宋" w:eastAsia="仿宋"/>
          <w:szCs w:val="21"/>
        </w:rPr>
        <w:t>发送至医院指定邮箱（</w:t>
      </w:r>
      <w:r>
        <w:rPr>
          <w:rFonts w:hint="eastAsia" w:ascii="仿宋" w:hAnsi="仿宋" w:eastAsia="仿宋"/>
          <w:szCs w:val="21"/>
          <w:u w:val="single"/>
        </w:rPr>
        <w:t>招标办</w:t>
      </w:r>
      <w:r>
        <w:rPr>
          <w:rFonts w:hint="eastAsia" w:ascii="仿宋" w:hAnsi="仿宋" w:eastAsia="仿宋"/>
          <w:szCs w:val="21"/>
        </w:rPr>
        <w:t>：2523245199@qq.com</w:t>
      </w:r>
      <w:r>
        <w:rPr>
          <w:rFonts w:hint="eastAsia" w:ascii="仿宋" w:hAnsi="仿宋" w:eastAsia="仿宋"/>
          <w:szCs w:val="21"/>
          <w:u w:val="single"/>
        </w:rPr>
        <w:t>和归口科室</w:t>
      </w:r>
      <w:r>
        <w:rPr>
          <w:rFonts w:hint="eastAsia" w:ascii="仿宋" w:hAnsi="仿宋" w:eastAsia="仿宋"/>
          <w:szCs w:val="21"/>
        </w:rPr>
        <w:t>【设备</w:t>
      </w:r>
      <w:r>
        <w:rPr>
          <w:rFonts w:hint="eastAsia" w:ascii="仿宋" w:hAnsi="仿宋" w:eastAsia="仿宋"/>
          <w:szCs w:val="21"/>
          <w:lang w:val="en-US" w:eastAsia="zh-CN"/>
        </w:rPr>
        <w:t>工程部</w:t>
      </w:r>
      <w:r>
        <w:rPr>
          <w:rFonts w:hint="eastAsia" w:ascii="仿宋" w:hAnsi="仿宋" w:eastAsia="仿宋"/>
          <w:szCs w:val="21"/>
        </w:rPr>
        <w:t>□、</w:t>
      </w:r>
      <w:r>
        <w:rPr>
          <w:rFonts w:hint="eastAsia" w:ascii="仿宋" w:hAnsi="仿宋" w:eastAsia="仿宋"/>
          <w:szCs w:val="21"/>
          <w:lang w:val="en-US" w:eastAsia="zh-CN"/>
        </w:rPr>
        <w:t>信息管理部</w:t>
      </w:r>
      <w:r>
        <w:rPr>
          <w:rFonts w:hint="eastAsia" w:ascii="仿宋" w:hAnsi="仿宋" w:eastAsia="仿宋"/>
          <w:szCs w:val="21"/>
          <w:lang w:eastAsia="zh-CN"/>
        </w:rPr>
        <w:t>☑</w:t>
      </w:r>
      <w:r>
        <w:rPr>
          <w:rFonts w:hint="eastAsia" w:ascii="仿宋" w:hAnsi="仿宋" w:eastAsia="仿宋"/>
          <w:szCs w:val="21"/>
        </w:rPr>
        <w:t>、</w:t>
      </w:r>
      <w:r>
        <w:rPr>
          <w:rFonts w:hint="eastAsia" w:ascii="仿宋" w:hAnsi="仿宋" w:eastAsia="仿宋"/>
          <w:szCs w:val="21"/>
          <w:lang w:val="en-US" w:eastAsia="zh-CN"/>
        </w:rPr>
        <w:t>后勤保障部</w:t>
      </w:r>
      <w:r>
        <w:rPr>
          <w:rFonts w:hint="eastAsia" w:ascii="仿宋" w:hAnsi="仿宋" w:eastAsia="仿宋"/>
          <w:szCs w:val="21"/>
        </w:rPr>
        <w:t>□及其他□</w:t>
      </w:r>
      <w:r>
        <w:rPr>
          <w:rFonts w:hint="eastAsia" w:ascii="仿宋" w:hAnsi="仿宋" w:eastAsia="仿宋"/>
          <w:szCs w:val="21"/>
          <w:u w:val="single"/>
        </w:rPr>
        <w:t xml:space="preserve">          </w:t>
      </w:r>
      <w:r>
        <w:rPr>
          <w:rFonts w:hint="eastAsia" w:ascii="仿宋" w:hAnsi="仿宋" w:eastAsia="仿宋"/>
          <w:szCs w:val="21"/>
        </w:rPr>
        <w:t>】：LASZYYXXK@163.com</w:t>
      </w:r>
      <w:r>
        <w:rPr>
          <w:rFonts w:hint="eastAsia" w:ascii="仿宋" w:hAnsi="仿宋" w:eastAsia="仿宋"/>
          <w:szCs w:val="21"/>
          <w:u w:val="single"/>
        </w:rPr>
        <w:t xml:space="preserve"> </w:t>
      </w:r>
      <w:r>
        <w:rPr>
          <w:rFonts w:hint="eastAsia" w:ascii="仿宋" w:hAnsi="仿宋" w:eastAsia="仿宋"/>
          <w:szCs w:val="21"/>
        </w:rPr>
        <w:t>）；</w:t>
      </w:r>
    </w:p>
    <w:p w14:paraId="2B8BFDA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szCs w:val="21"/>
          <w:u w:val="single"/>
        </w:rPr>
      </w:pPr>
      <w:r>
        <w:rPr>
          <w:rFonts w:hint="eastAsia" w:ascii="仿宋" w:hAnsi="仿宋" w:eastAsia="仿宋"/>
          <w:szCs w:val="21"/>
          <w:lang w:val="en-US" w:eastAsia="zh-CN"/>
        </w:rPr>
        <w:t>2、</w:t>
      </w:r>
      <w:r>
        <w:rPr>
          <w:rFonts w:hint="eastAsia" w:ascii="仿宋" w:hAnsi="仿宋" w:eastAsia="仿宋"/>
          <w:szCs w:val="21"/>
        </w:rPr>
        <w:t>响应情况（是/否）若为否则</w:t>
      </w:r>
      <w:r>
        <w:rPr>
          <w:rFonts w:hint="eastAsia" w:ascii="仿宋" w:hAnsi="仿宋" w:eastAsia="仿宋"/>
          <w:szCs w:val="21"/>
          <w:lang w:eastAsia="zh-CN"/>
        </w:rPr>
        <w:t>须标注</w:t>
      </w:r>
      <w:r>
        <w:rPr>
          <w:rFonts w:hint="eastAsia" w:ascii="仿宋" w:hAnsi="仿宋" w:eastAsia="仿宋"/>
          <w:szCs w:val="21"/>
        </w:rPr>
        <w:t>具体建议修改</w:t>
      </w:r>
      <w:r>
        <w:rPr>
          <w:rFonts w:hint="eastAsia" w:ascii="仿宋" w:hAnsi="仿宋" w:eastAsia="仿宋"/>
          <w:szCs w:val="21"/>
          <w:lang w:eastAsia="zh-CN"/>
        </w:rPr>
        <w:t>指标（</w:t>
      </w:r>
      <w:r>
        <w:rPr>
          <w:rFonts w:hint="eastAsia" w:ascii="仿宋" w:hAnsi="仿宋" w:eastAsia="仿宋"/>
          <w:b/>
          <w:bCs/>
          <w:szCs w:val="21"/>
          <w:lang w:eastAsia="zh-CN"/>
        </w:rPr>
        <w:t>未标注则默认为响应初步参数</w:t>
      </w:r>
      <w:r>
        <w:rPr>
          <w:rFonts w:hint="eastAsia" w:ascii="仿宋" w:hAnsi="仿宋" w:eastAsia="仿宋"/>
          <w:szCs w:val="21"/>
          <w:lang w:eastAsia="zh-CN"/>
        </w:rPr>
        <w:t>）</w:t>
      </w:r>
      <w:r>
        <w:rPr>
          <w:rFonts w:hint="eastAsia" w:ascii="仿宋" w:hAnsi="仿宋" w:eastAsia="仿宋"/>
          <w:szCs w:val="21"/>
        </w:rPr>
        <w:t>，</w:t>
      </w:r>
      <w:r>
        <w:rPr>
          <w:rFonts w:hint="eastAsia" w:ascii="仿宋" w:hAnsi="仿宋" w:eastAsia="仿宋"/>
          <w:b/>
          <w:bCs/>
          <w:szCs w:val="21"/>
        </w:rPr>
        <w:t>建议修改</w:t>
      </w:r>
      <w:r>
        <w:rPr>
          <w:rFonts w:hint="eastAsia" w:ascii="仿宋" w:hAnsi="仿宋" w:eastAsia="仿宋"/>
          <w:b/>
          <w:bCs/>
          <w:szCs w:val="21"/>
          <w:lang w:eastAsia="zh-CN"/>
        </w:rPr>
        <w:t>指标</w:t>
      </w:r>
      <w:r>
        <w:rPr>
          <w:rFonts w:hint="eastAsia" w:ascii="仿宋" w:hAnsi="仿宋" w:eastAsia="仿宋"/>
          <w:b/>
          <w:bCs/>
          <w:szCs w:val="21"/>
        </w:rPr>
        <w:t>须</w:t>
      </w:r>
      <w:r>
        <w:rPr>
          <w:rFonts w:hint="eastAsia" w:ascii="仿宋" w:hAnsi="仿宋" w:eastAsia="仿宋"/>
          <w:b/>
          <w:bCs/>
          <w:szCs w:val="21"/>
          <w:lang w:eastAsia="zh-CN"/>
        </w:rPr>
        <w:t>提供相应证明材料</w:t>
      </w:r>
      <w:r>
        <w:rPr>
          <w:rFonts w:hint="eastAsia" w:ascii="仿宋" w:hAnsi="仿宋" w:eastAsia="仿宋"/>
          <w:szCs w:val="21"/>
        </w:rPr>
        <w:t>（</w:t>
      </w:r>
      <w:r>
        <w:rPr>
          <w:rFonts w:hint="eastAsia" w:ascii="仿宋" w:hAnsi="仿宋" w:eastAsia="仿宋" w:cs="仿宋"/>
          <w:b w:val="0"/>
          <w:bCs/>
          <w:szCs w:val="21"/>
          <w:lang w:eastAsia="zh-CN"/>
        </w:rPr>
        <w:t>★项</w:t>
      </w:r>
      <w:r>
        <w:rPr>
          <w:rFonts w:hint="eastAsia" w:ascii="仿宋" w:hAnsi="仿宋" w:eastAsia="仿宋"/>
          <w:szCs w:val="21"/>
          <w:lang w:eastAsia="zh-CN"/>
        </w:rPr>
        <w:t>证明材料须为政府主管部门【或</w:t>
      </w:r>
      <w:r>
        <w:rPr>
          <w:rStyle w:val="17"/>
          <w:rFonts w:hint="eastAsia" w:ascii="仿宋" w:hAnsi="仿宋" w:eastAsia="仿宋" w:cs="仿宋"/>
          <w:b w:val="0"/>
          <w:bCs/>
          <w:color w:val="auto"/>
          <w:sz w:val="21"/>
          <w:szCs w:val="21"/>
          <w:lang w:eastAsia="zh-CN"/>
        </w:rPr>
        <w:t>具备</w:t>
      </w:r>
      <w:r>
        <w:rPr>
          <w:rStyle w:val="17"/>
          <w:rFonts w:hint="eastAsia" w:ascii="仿宋" w:hAnsi="仿宋" w:eastAsia="仿宋" w:cs="仿宋"/>
          <w:b w:val="0"/>
          <w:bCs/>
          <w:color w:val="auto"/>
          <w:sz w:val="21"/>
          <w:szCs w:val="21"/>
          <w:lang w:val="en-US" w:eastAsia="zh-CN"/>
        </w:rPr>
        <w:t>CMA&lt;或CNAS&gt;资质检测机构】出具的</w:t>
      </w:r>
      <w:r>
        <w:rPr>
          <w:rFonts w:hint="eastAsia" w:ascii="仿宋" w:hAnsi="仿宋" w:eastAsia="仿宋"/>
          <w:szCs w:val="21"/>
          <w:lang w:eastAsia="zh-CN"/>
        </w:rPr>
        <w:t>检测报告，非</w:t>
      </w:r>
      <w:r>
        <w:rPr>
          <w:rFonts w:hint="eastAsia" w:ascii="仿宋" w:hAnsi="仿宋" w:eastAsia="仿宋" w:cs="仿宋"/>
          <w:b w:val="0"/>
          <w:bCs/>
          <w:szCs w:val="21"/>
          <w:lang w:eastAsia="zh-CN"/>
        </w:rPr>
        <w:t>★项</w:t>
      </w:r>
      <w:r>
        <w:rPr>
          <w:rFonts w:hint="eastAsia" w:ascii="仿宋" w:hAnsi="仿宋" w:eastAsia="仿宋"/>
          <w:szCs w:val="21"/>
          <w:lang w:eastAsia="zh-CN"/>
        </w:rPr>
        <w:t>证明材料可为除彩页外的其他材料，</w:t>
      </w:r>
      <w:r>
        <w:rPr>
          <w:rFonts w:hint="eastAsia" w:ascii="仿宋" w:hAnsi="仿宋" w:eastAsia="仿宋"/>
          <w:b/>
          <w:bCs/>
          <w:szCs w:val="21"/>
          <w:lang w:eastAsia="zh-CN"/>
        </w:rPr>
        <w:t>无证明材料则可不予采纳</w:t>
      </w:r>
      <w:r>
        <w:rPr>
          <w:rFonts w:hint="eastAsia" w:ascii="仿宋" w:hAnsi="仿宋" w:eastAsia="仿宋"/>
          <w:szCs w:val="21"/>
          <w:lang w:eastAsia="zh-CN"/>
        </w:rPr>
        <w:t>；建议修改意见</w:t>
      </w:r>
      <w:r>
        <w:rPr>
          <w:rFonts w:hint="eastAsia" w:ascii="仿宋" w:hAnsi="仿宋" w:eastAsia="仿宋"/>
          <w:szCs w:val="21"/>
        </w:rPr>
        <w:t>原则上须满足业界主流品牌同档次水平产品</w:t>
      </w:r>
      <w:r>
        <w:rPr>
          <w:rFonts w:hint="eastAsia" w:ascii="仿宋" w:hAnsi="仿宋" w:eastAsia="仿宋"/>
          <w:szCs w:val="21"/>
          <w:lang w:eastAsia="zh-CN"/>
        </w:rPr>
        <w:t>且不得为独家</w:t>
      </w:r>
      <w:r>
        <w:rPr>
          <w:rFonts w:hint="eastAsia" w:ascii="仿宋" w:hAnsi="仿宋" w:eastAsia="仿宋"/>
          <w:szCs w:val="21"/>
        </w:rPr>
        <w:t>），</w:t>
      </w:r>
      <w:r>
        <w:rPr>
          <w:rFonts w:hint="eastAsia" w:ascii="仿宋" w:hAnsi="仿宋" w:eastAsia="仿宋"/>
          <w:b/>
          <w:szCs w:val="21"/>
          <w:u w:val="single"/>
        </w:rPr>
        <w:t>同时务必备注本品牌本规格型号产品相对应的真实指标并标注是否为独家（供医院汇总定稿版参数时选择）；</w:t>
      </w:r>
    </w:p>
    <w:p w14:paraId="1FD8E2C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val="0"/>
          <w:bCs/>
          <w:szCs w:val="21"/>
          <w:u w:val="none"/>
          <w:lang w:eastAsia="zh-CN"/>
        </w:rPr>
      </w:pPr>
      <w:r>
        <w:rPr>
          <w:rFonts w:hint="eastAsia" w:ascii="仿宋" w:hAnsi="仿宋" w:eastAsia="仿宋"/>
          <w:b w:val="0"/>
          <w:bCs/>
          <w:szCs w:val="21"/>
          <w:u w:val="none"/>
          <w:lang w:val="en-US" w:eastAsia="zh-CN"/>
        </w:rPr>
        <w:t>3、院方根据各</w:t>
      </w:r>
      <w:r>
        <w:rPr>
          <w:rFonts w:hint="eastAsia" w:ascii="仿宋" w:hAnsi="仿宋" w:eastAsia="仿宋"/>
          <w:b w:val="0"/>
          <w:bCs/>
          <w:szCs w:val="21"/>
          <w:u w:val="none"/>
          <w:lang w:eastAsia="zh-CN"/>
        </w:rPr>
        <w:t>潜在供应商提供的配套耗材和须定期更换零部件的报价清单</w:t>
      </w:r>
      <w:r>
        <w:rPr>
          <w:rFonts w:hint="eastAsia" w:ascii="仿宋" w:hAnsi="仿宋" w:eastAsia="仿宋"/>
          <w:b w:val="0"/>
          <w:bCs/>
          <w:szCs w:val="21"/>
          <w:u w:val="none"/>
          <w:lang w:val="en-US" w:eastAsia="zh-CN"/>
        </w:rPr>
        <w:t>(须同步提供近2年内至少3家二级及以上医院发票原件扫描件和入库清单【遮挡无效】)进行</w:t>
      </w:r>
      <w:r>
        <w:rPr>
          <w:rFonts w:hint="eastAsia" w:ascii="仿宋" w:hAnsi="仿宋" w:eastAsia="仿宋"/>
          <w:b w:val="0"/>
          <w:bCs/>
          <w:szCs w:val="21"/>
          <w:u w:val="none"/>
          <w:lang w:eastAsia="zh-CN"/>
        </w:rPr>
        <w:t>设置相关报价限价，若潜在供应商均未提供报价清单（含发票原件扫描件和入库清单）则视同本项目无耗材和须定期更换零部件。</w:t>
      </w:r>
    </w:p>
    <w:p w14:paraId="2266D20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ascii="仿宋" w:hAnsi="仿宋" w:eastAsia="仿宋"/>
          <w:szCs w:val="21"/>
        </w:rPr>
      </w:pPr>
      <w:r>
        <w:rPr>
          <w:rFonts w:hint="eastAsia" w:ascii="仿宋" w:hAnsi="仿宋" w:eastAsia="仿宋"/>
          <w:b/>
          <w:bCs w:val="0"/>
          <w:szCs w:val="21"/>
          <w:u w:val="none"/>
          <w:lang w:val="en-US" w:eastAsia="zh-CN"/>
        </w:rPr>
        <w:t>4、</w:t>
      </w:r>
      <w:r>
        <w:rPr>
          <w:rFonts w:hint="eastAsia" w:ascii="仿宋" w:hAnsi="仿宋" w:eastAsia="仿宋"/>
          <w:b/>
          <w:bCs w:val="0"/>
          <w:szCs w:val="21"/>
          <w:u w:val="none"/>
          <w:lang w:eastAsia="zh-CN"/>
        </w:rPr>
        <w:t>杜绝两现象：</w:t>
      </w:r>
      <w:r>
        <w:rPr>
          <w:rFonts w:hint="eastAsia" w:ascii="仿宋" w:hAnsi="仿宋" w:eastAsia="仿宋"/>
          <w:b w:val="0"/>
          <w:bCs/>
          <w:szCs w:val="21"/>
          <w:u w:val="none"/>
          <w:lang w:eastAsia="zh-CN"/>
        </w:rPr>
        <w:t>一是整机保修</w:t>
      </w:r>
      <w:r>
        <w:rPr>
          <w:rFonts w:hint="eastAsia" w:ascii="仿宋" w:hAnsi="仿宋" w:eastAsia="仿宋"/>
          <w:b w:val="0"/>
          <w:bCs/>
          <w:szCs w:val="21"/>
          <w:u w:val="none"/>
          <w:lang w:val="en-US" w:eastAsia="zh-CN"/>
        </w:rPr>
        <w:t>3年，保修范围不包含须定期更换零部件，须定期更换零部件报价清单如下...；二是将须定期更换零部件变为耗材，恶意降低货物价格，提高耗材价（或直接提高耗材报价）。</w:t>
      </w:r>
    </w:p>
    <w:p w14:paraId="50C58F7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b/>
          <w:bCs w:val="0"/>
          <w:szCs w:val="21"/>
          <w:lang w:eastAsia="zh-CN"/>
        </w:rPr>
      </w:pPr>
      <w:r>
        <w:rPr>
          <w:rFonts w:hint="eastAsia" w:ascii="仿宋" w:hAnsi="仿宋" w:eastAsia="仿宋"/>
          <w:b/>
          <w:bCs w:val="0"/>
          <w:szCs w:val="21"/>
        </w:rPr>
        <w:t>附件：配套耗材、试剂【单人次费用】及须定期更换零部件报价清单（样表【若无则标注“无”且不可删除】、可单列</w:t>
      </w:r>
      <w:r>
        <w:rPr>
          <w:rFonts w:hint="eastAsia" w:ascii="仿宋" w:hAnsi="仿宋" w:eastAsia="仿宋"/>
          <w:b/>
          <w:bCs w:val="0"/>
          <w:szCs w:val="21"/>
          <w:lang w:eastAsia="zh-CN"/>
        </w:rPr>
        <w:t>）。</w:t>
      </w:r>
    </w:p>
    <w:p w14:paraId="2FD3648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szCs w:val="21"/>
        </w:rPr>
      </w:pPr>
      <w:r>
        <w:rPr>
          <w:rFonts w:hint="eastAsia" w:ascii="仿宋" w:hAnsi="仿宋" w:eastAsia="仿宋" w:cs="仿宋"/>
          <w:b w:val="0"/>
          <w:bCs/>
          <w:szCs w:val="21"/>
          <w:lang w:val="en-US" w:eastAsia="zh-CN"/>
        </w:rPr>
        <w:t>5、</w:t>
      </w:r>
      <w:r>
        <w:rPr>
          <w:rFonts w:hint="eastAsia" w:ascii="仿宋" w:hAnsi="仿宋" w:eastAsia="仿宋" w:cs="仿宋"/>
          <w:b w:val="0"/>
          <w:bCs/>
          <w:color w:val="FF0000"/>
          <w:szCs w:val="21"/>
          <w:lang w:val="en-US" w:eastAsia="zh-CN"/>
        </w:rPr>
        <w:t>拟设置为</w:t>
      </w:r>
      <w:r>
        <w:rPr>
          <w:rFonts w:hint="eastAsia" w:ascii="仿宋" w:hAnsi="仿宋" w:eastAsia="仿宋" w:cs="仿宋"/>
          <w:b w:val="0"/>
          <w:bCs/>
          <w:color w:val="auto"/>
          <w:szCs w:val="21"/>
          <w:lang w:eastAsia="zh-CN"/>
        </w:rPr>
        <w:t>★项参数</w:t>
      </w:r>
      <w:r>
        <w:rPr>
          <w:rFonts w:hint="eastAsia" w:ascii="仿宋" w:hAnsi="仿宋" w:eastAsia="仿宋" w:cs="仿宋"/>
          <w:b w:val="0"/>
          <w:bCs/>
          <w:color w:val="FF0000"/>
          <w:szCs w:val="21"/>
          <w:lang w:val="en-US" w:eastAsia="zh-CN"/>
        </w:rPr>
        <w:t>(</w:t>
      </w:r>
      <w:r>
        <w:rPr>
          <w:rFonts w:hint="eastAsia" w:ascii="仿宋" w:hAnsi="仿宋" w:eastAsia="仿宋" w:cs="仿宋"/>
          <w:b w:val="0"/>
          <w:bCs/>
          <w:color w:val="FF0000"/>
          <w:szCs w:val="21"/>
          <w:lang w:eastAsia="zh-CN"/>
        </w:rPr>
        <w:t>★项标准：</w:t>
      </w:r>
      <w:r>
        <w:rPr>
          <w:rFonts w:hint="eastAsia" w:ascii="仿宋" w:hAnsi="仿宋" w:eastAsia="仿宋" w:cs="仿宋"/>
          <w:b w:val="0"/>
          <w:bCs/>
          <w:color w:val="FF0000"/>
          <w:szCs w:val="21"/>
          <w:lang w:val="en-US" w:eastAsia="zh-CN"/>
        </w:rPr>
        <w:t>拟购设备核心参数指标</w:t>
      </w:r>
      <w:r>
        <w:rPr>
          <w:rFonts w:hint="eastAsia" w:ascii="仿宋" w:hAnsi="仿宋" w:eastAsia="仿宋" w:cs="仿宋"/>
          <w:b/>
          <w:bCs w:val="0"/>
          <w:color w:val="auto"/>
          <w:szCs w:val="21"/>
          <w:lang w:val="en-US" w:eastAsia="zh-CN"/>
        </w:rPr>
        <w:t>【如有不妥，请提出并提供权威部门证明文件，否则不予采纳】)</w:t>
      </w:r>
      <w:r>
        <w:rPr>
          <w:rFonts w:hint="eastAsia" w:ascii="仿宋" w:hAnsi="仿宋" w:eastAsia="仿宋" w:cs="仿宋"/>
          <w:b w:val="0"/>
          <w:bCs/>
          <w:szCs w:val="21"/>
          <w:lang w:eastAsia="zh-CN"/>
        </w:rPr>
        <w:t>要求投标人在投标文件中所提供的证明材料须为</w:t>
      </w:r>
      <w:r>
        <w:rPr>
          <w:rFonts w:hint="eastAsia" w:ascii="仿宋" w:hAnsi="仿宋" w:eastAsia="仿宋" w:cs="仿宋"/>
          <w:b w:val="0"/>
          <w:bCs/>
          <w:color w:val="auto"/>
          <w:sz w:val="21"/>
          <w:szCs w:val="21"/>
        </w:rPr>
        <w:t>政府主管部门</w:t>
      </w:r>
      <w:r>
        <w:rPr>
          <w:rFonts w:hint="eastAsia" w:ascii="仿宋" w:hAnsi="仿宋" w:eastAsia="仿宋" w:cs="仿宋"/>
          <w:b/>
          <w:bCs w:val="0"/>
          <w:color w:val="auto"/>
          <w:sz w:val="21"/>
          <w:szCs w:val="21"/>
          <w:lang w:eastAsia="zh-CN"/>
        </w:rPr>
        <w:t>（</w:t>
      </w:r>
      <w:r>
        <w:rPr>
          <w:rStyle w:val="17"/>
          <w:rFonts w:hint="eastAsia" w:ascii="仿宋" w:hAnsi="仿宋" w:eastAsia="仿宋" w:cs="仿宋"/>
          <w:b/>
          <w:bCs w:val="0"/>
          <w:color w:val="auto"/>
          <w:sz w:val="21"/>
          <w:szCs w:val="21"/>
          <w:lang w:eastAsia="zh-CN"/>
        </w:rPr>
        <w:t>或具备</w:t>
      </w:r>
      <w:r>
        <w:rPr>
          <w:rStyle w:val="17"/>
          <w:rFonts w:hint="eastAsia" w:ascii="仿宋" w:hAnsi="仿宋" w:eastAsia="仿宋" w:cs="仿宋"/>
          <w:b/>
          <w:bCs w:val="0"/>
          <w:color w:val="auto"/>
          <w:sz w:val="21"/>
          <w:szCs w:val="21"/>
          <w:lang w:val="en-US" w:eastAsia="zh-CN"/>
        </w:rPr>
        <w:t>CMA【或CNAS】资质检测机构）</w:t>
      </w:r>
      <w:r>
        <w:rPr>
          <w:rStyle w:val="17"/>
          <w:rFonts w:hint="eastAsia" w:ascii="仿宋" w:hAnsi="仿宋" w:eastAsia="仿宋" w:cs="仿宋"/>
          <w:b w:val="0"/>
          <w:bCs/>
          <w:color w:val="auto"/>
          <w:sz w:val="21"/>
          <w:szCs w:val="21"/>
          <w:lang w:val="en-US" w:eastAsia="zh-CN"/>
        </w:rPr>
        <w:t>出具的</w:t>
      </w:r>
      <w:r>
        <w:rPr>
          <w:rStyle w:val="17"/>
          <w:rFonts w:hint="eastAsia" w:ascii="仿宋" w:hAnsi="仿宋" w:eastAsia="仿宋" w:cs="仿宋"/>
          <w:b w:val="0"/>
          <w:bCs/>
          <w:color w:val="auto"/>
          <w:sz w:val="21"/>
          <w:szCs w:val="21"/>
        </w:rPr>
        <w:t>质检报告原件扫描件</w:t>
      </w:r>
      <w:r>
        <w:rPr>
          <w:rStyle w:val="17"/>
          <w:rFonts w:hint="eastAsia" w:ascii="仿宋" w:hAnsi="仿宋" w:eastAsia="仿宋" w:cs="仿宋"/>
          <w:b w:val="0"/>
          <w:bCs/>
          <w:color w:val="auto"/>
          <w:sz w:val="21"/>
          <w:szCs w:val="21"/>
          <w:lang w:eastAsia="zh-CN"/>
        </w:rPr>
        <w:t>（政府主管部门</w:t>
      </w:r>
      <w:r>
        <w:rPr>
          <w:rFonts w:hint="eastAsia" w:ascii="仿宋" w:hAnsi="仿宋" w:eastAsia="仿宋" w:cs="仿宋"/>
          <w:b w:val="0"/>
          <w:bCs/>
          <w:color w:val="auto"/>
          <w:sz w:val="21"/>
          <w:szCs w:val="21"/>
        </w:rPr>
        <w:t>如</w:t>
      </w:r>
      <w:r>
        <w:rPr>
          <w:rFonts w:hint="eastAsia" w:ascii="仿宋" w:hAnsi="仿宋" w:eastAsia="仿宋" w:cs="仿宋"/>
          <w:b w:val="0"/>
          <w:bCs/>
          <w:color w:val="auto"/>
          <w:sz w:val="21"/>
          <w:szCs w:val="21"/>
          <w:lang w:eastAsia="zh-CN"/>
        </w:rPr>
        <w:t>国家</w:t>
      </w:r>
      <w:r>
        <w:rPr>
          <w:rStyle w:val="17"/>
          <w:rFonts w:hint="eastAsia" w:ascii="仿宋" w:hAnsi="仿宋" w:eastAsia="仿宋" w:cs="仿宋"/>
          <w:b w:val="0"/>
          <w:bCs/>
          <w:color w:val="auto"/>
          <w:sz w:val="21"/>
          <w:szCs w:val="21"/>
        </w:rPr>
        <w:t>食药监局</w:t>
      </w:r>
      <w:r>
        <w:rPr>
          <w:rStyle w:val="17"/>
          <w:rFonts w:hint="eastAsia" w:ascii="仿宋" w:hAnsi="仿宋" w:eastAsia="仿宋" w:cs="仿宋"/>
          <w:b w:val="0"/>
          <w:bCs/>
          <w:color w:val="auto"/>
          <w:sz w:val="21"/>
          <w:szCs w:val="21"/>
          <w:lang w:eastAsia="zh-CN"/>
        </w:rPr>
        <w:t>或</w:t>
      </w:r>
      <w:r>
        <w:rPr>
          <w:rStyle w:val="17"/>
          <w:rFonts w:hint="eastAsia" w:ascii="仿宋" w:hAnsi="仿宋" w:eastAsia="仿宋" w:cs="仿宋"/>
          <w:b w:val="0"/>
          <w:bCs/>
          <w:color w:val="auto"/>
          <w:sz w:val="21"/>
          <w:szCs w:val="21"/>
        </w:rPr>
        <w:t>其下属单位</w:t>
      </w:r>
      <w:r>
        <w:rPr>
          <w:rStyle w:val="17"/>
          <w:rFonts w:hint="eastAsia" w:ascii="仿宋" w:hAnsi="仿宋" w:eastAsia="仿宋" w:cs="仿宋"/>
          <w:b w:val="0"/>
          <w:bCs/>
          <w:color w:val="auto"/>
          <w:sz w:val="21"/>
          <w:szCs w:val="21"/>
          <w:lang w:eastAsia="zh-CN"/>
        </w:rPr>
        <w:t>或省级医疗器械检验机构或省级食品药品检验机构等）。</w:t>
      </w:r>
    </w:p>
    <w:p w14:paraId="7F480D9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val="0"/>
          <w:bCs/>
          <w:szCs w:val="21"/>
          <w:lang w:val="en-US" w:eastAsia="zh-CN"/>
        </w:rPr>
      </w:pPr>
      <w:r>
        <w:rPr>
          <w:rFonts w:hint="eastAsia" w:ascii="仿宋" w:hAnsi="仿宋" w:eastAsia="仿宋"/>
          <w:b w:val="0"/>
          <w:bCs/>
          <w:szCs w:val="21"/>
          <w:lang w:eastAsia="zh-CN"/>
        </w:rPr>
        <w:t>附件：表</w:t>
      </w:r>
      <w:r>
        <w:rPr>
          <w:rFonts w:hint="eastAsia" w:ascii="仿宋" w:hAnsi="仿宋" w:eastAsia="仿宋"/>
          <w:b w:val="0"/>
          <w:bCs/>
          <w:szCs w:val="21"/>
          <w:lang w:val="en-US" w:eastAsia="zh-CN"/>
        </w:rPr>
        <w:t>1-4</w:t>
      </w:r>
    </w:p>
    <w:p w14:paraId="2B55E46A">
      <w:pPr>
        <w:spacing w:line="320" w:lineRule="exact"/>
        <w:rPr>
          <w:rFonts w:hint="eastAsia" w:asciiTheme="minorEastAsia" w:hAnsiTheme="minorEastAsia" w:eastAsiaTheme="minorEastAsia" w:cstheme="minorEastAsia"/>
          <w:b/>
          <w:bCs w:val="0"/>
          <w:szCs w:val="21"/>
          <w:lang w:eastAsia="zh-CN"/>
        </w:rPr>
      </w:pPr>
      <w:r>
        <w:rPr>
          <w:rFonts w:hint="eastAsia" w:asciiTheme="minorEastAsia" w:hAnsiTheme="minorEastAsia" w:eastAsiaTheme="minorEastAsia" w:cstheme="minorEastAsia"/>
          <w:b/>
          <w:bCs w:val="0"/>
          <w:szCs w:val="21"/>
          <w:lang w:eastAsia="zh-CN"/>
        </w:rPr>
        <w:t>一、招标背景</w:t>
      </w:r>
    </w:p>
    <w:p w14:paraId="1D2F8B6C">
      <w:pPr>
        <w:spacing w:line="320" w:lineRule="exact"/>
        <w:ind w:firstLine="420" w:firstLineChars="200"/>
        <w:rPr>
          <w:rFonts w:hint="eastAsia" w:asciiTheme="minorEastAsia" w:hAnsiTheme="minorEastAsia" w:eastAsiaTheme="minorEastAsia" w:cstheme="minorEastAsia"/>
          <w:b w:val="0"/>
          <w:bCs/>
          <w:szCs w:val="21"/>
          <w:lang w:eastAsia="zh-CN"/>
        </w:rPr>
      </w:pPr>
      <w:r>
        <w:rPr>
          <w:rFonts w:hint="eastAsia" w:asciiTheme="minorEastAsia" w:hAnsiTheme="minorEastAsia" w:eastAsiaTheme="minorEastAsia" w:cstheme="minorEastAsia"/>
          <w:b w:val="0"/>
          <w:bCs/>
          <w:szCs w:val="21"/>
          <w:lang w:eastAsia="zh-CN"/>
        </w:rPr>
        <w:t>根据《国家医疗保障局办公室关于开展医保药品耗材追溯码信息采集试点工作的通知》（医保办函〔2024〕38号）、《关于加快推进定点医药机构医保药品追溯信息采集工作的通知》（六医保秘〔2025〕13号）、《关于印发&lt;六安市医保药品耗材追溯码“依码结算”工作方案&gt;的通知》（六医保密〔2025〕16号）等文件精神，医疗机构需对医保药品追溯码“应采尽采、应传尽传”，并于2025年7月1日起全面落实到位。医保局根据医疗机构“依码结算、依码支付”情况，进行医保基金的结算和预付。为落实医保局相关工作要求，特采购医保药品</w:t>
      </w:r>
      <w:r>
        <w:rPr>
          <w:rFonts w:hint="eastAsia" w:asciiTheme="minorEastAsia" w:hAnsiTheme="minorEastAsia" w:cstheme="minorEastAsia"/>
          <w:b w:val="0"/>
          <w:bCs/>
          <w:szCs w:val="21"/>
          <w:lang w:val="en-US" w:eastAsia="zh-CN"/>
        </w:rPr>
        <w:t>耗材</w:t>
      </w:r>
      <w:r>
        <w:rPr>
          <w:rFonts w:hint="eastAsia" w:asciiTheme="minorEastAsia" w:hAnsiTheme="minorEastAsia" w:eastAsiaTheme="minorEastAsia" w:cstheme="minorEastAsia"/>
          <w:b w:val="0"/>
          <w:bCs/>
          <w:szCs w:val="21"/>
          <w:lang w:eastAsia="zh-CN"/>
        </w:rPr>
        <w:t>追溯码管理系统及配套硬件设备。</w:t>
      </w:r>
    </w:p>
    <w:p w14:paraId="4DD2012F">
      <w:pPr>
        <w:spacing w:line="320" w:lineRule="exact"/>
        <w:rPr>
          <w:rFonts w:hint="eastAsia" w:asciiTheme="minorEastAsia" w:hAnsiTheme="minorEastAsia" w:eastAsiaTheme="minorEastAsia" w:cstheme="minorEastAsia"/>
          <w:b/>
          <w:bCs w:val="0"/>
          <w:szCs w:val="21"/>
          <w:lang w:eastAsia="zh-CN"/>
        </w:rPr>
      </w:pPr>
      <w:r>
        <w:rPr>
          <w:rFonts w:hint="eastAsia" w:asciiTheme="minorEastAsia" w:hAnsiTheme="minorEastAsia" w:cstheme="minorEastAsia"/>
          <w:b/>
          <w:bCs w:val="0"/>
          <w:szCs w:val="21"/>
          <w:lang w:val="en-US" w:eastAsia="zh-CN"/>
        </w:rPr>
        <w:t>二、</w:t>
      </w:r>
      <w:r>
        <w:rPr>
          <w:rFonts w:hint="eastAsia" w:asciiTheme="minorEastAsia" w:hAnsiTheme="minorEastAsia" w:eastAsiaTheme="minorEastAsia" w:cstheme="minorEastAsia"/>
          <w:b/>
          <w:bCs w:val="0"/>
          <w:szCs w:val="21"/>
          <w:lang w:eastAsia="zh-CN"/>
        </w:rPr>
        <w:t>建设要求</w:t>
      </w:r>
    </w:p>
    <w:p w14:paraId="0D7EBFD4">
      <w:pPr>
        <w:spacing w:line="320" w:lineRule="exact"/>
        <w:rPr>
          <w:rFonts w:hint="eastAsia" w:asciiTheme="minorEastAsia" w:hAnsiTheme="minorEastAsia" w:eastAsiaTheme="minorEastAsia" w:cstheme="minorEastAsia"/>
          <w:b w:val="0"/>
          <w:bCs/>
          <w:szCs w:val="21"/>
          <w:lang w:eastAsia="zh-CN"/>
        </w:rPr>
      </w:pPr>
      <w:r>
        <w:rPr>
          <w:rFonts w:hint="eastAsia" w:asciiTheme="minorEastAsia" w:hAnsiTheme="minorEastAsia" w:eastAsiaTheme="minorEastAsia" w:cstheme="minorEastAsia"/>
          <w:b w:val="0"/>
          <w:bCs/>
          <w:szCs w:val="21"/>
          <w:lang w:eastAsia="zh-CN"/>
        </w:rPr>
        <w:t>1、系统能够对医院所有含追溯码的药品</w:t>
      </w:r>
      <w:r>
        <w:rPr>
          <w:rFonts w:hint="eastAsia" w:asciiTheme="minorEastAsia" w:hAnsiTheme="minorEastAsia" w:cstheme="minorEastAsia"/>
          <w:b w:val="0"/>
          <w:bCs/>
          <w:szCs w:val="21"/>
          <w:lang w:eastAsia="zh-CN"/>
        </w:rPr>
        <w:t>（</w:t>
      </w:r>
      <w:r>
        <w:rPr>
          <w:rFonts w:hint="eastAsia" w:asciiTheme="minorEastAsia" w:hAnsiTheme="minorEastAsia" w:cstheme="minorEastAsia"/>
          <w:b w:val="0"/>
          <w:bCs/>
          <w:szCs w:val="21"/>
          <w:lang w:val="en-US" w:eastAsia="zh-CN"/>
        </w:rPr>
        <w:t>耗材</w:t>
      </w:r>
      <w:r>
        <w:rPr>
          <w:rFonts w:hint="eastAsia" w:asciiTheme="minorEastAsia" w:hAnsiTheme="minorEastAsia" w:cstheme="minorEastAsia"/>
          <w:b w:val="0"/>
          <w:bCs/>
          <w:szCs w:val="21"/>
          <w:lang w:eastAsia="zh-CN"/>
        </w:rPr>
        <w:t>）</w:t>
      </w:r>
      <w:r>
        <w:rPr>
          <w:rFonts w:hint="eastAsia" w:asciiTheme="minorEastAsia" w:hAnsiTheme="minorEastAsia" w:eastAsiaTheme="minorEastAsia" w:cstheme="minorEastAsia"/>
          <w:b w:val="0"/>
          <w:bCs/>
          <w:szCs w:val="21"/>
          <w:lang w:eastAsia="zh-CN"/>
        </w:rPr>
        <w:t>实现全品种、全量采集并上传至医保信息平台，追溯码采集率、合规率符合医保局规定要求。</w:t>
      </w:r>
    </w:p>
    <w:p w14:paraId="43F608FA">
      <w:pPr>
        <w:spacing w:line="320" w:lineRule="exact"/>
        <w:rPr>
          <w:rFonts w:hint="eastAsia" w:asciiTheme="minorEastAsia" w:hAnsiTheme="minorEastAsia" w:eastAsiaTheme="minorEastAsia" w:cstheme="minorEastAsia"/>
          <w:b w:val="0"/>
          <w:bCs/>
          <w:szCs w:val="21"/>
          <w:lang w:eastAsia="zh-CN"/>
        </w:rPr>
      </w:pPr>
      <w:r>
        <w:rPr>
          <w:rFonts w:hint="eastAsia" w:asciiTheme="minorEastAsia" w:hAnsiTheme="minorEastAsia" w:eastAsiaTheme="minorEastAsia" w:cstheme="minorEastAsia"/>
          <w:b w:val="0"/>
          <w:bCs/>
          <w:szCs w:val="21"/>
          <w:lang w:eastAsia="zh-CN"/>
        </w:rPr>
        <w:t>2、能够全流程记录药品</w:t>
      </w:r>
      <w:r>
        <w:rPr>
          <w:rFonts w:hint="eastAsia" w:asciiTheme="minorEastAsia" w:hAnsiTheme="minorEastAsia" w:cstheme="minorEastAsia"/>
          <w:b w:val="0"/>
          <w:bCs/>
          <w:szCs w:val="21"/>
          <w:lang w:eastAsia="zh-CN"/>
        </w:rPr>
        <w:t>（</w:t>
      </w:r>
      <w:r>
        <w:rPr>
          <w:rFonts w:hint="eastAsia" w:asciiTheme="minorEastAsia" w:hAnsiTheme="minorEastAsia" w:cstheme="minorEastAsia"/>
          <w:b w:val="0"/>
          <w:bCs/>
          <w:szCs w:val="21"/>
          <w:lang w:val="en-US" w:eastAsia="zh-CN"/>
        </w:rPr>
        <w:t>耗材</w:t>
      </w:r>
      <w:r>
        <w:rPr>
          <w:rFonts w:hint="eastAsia" w:asciiTheme="minorEastAsia" w:hAnsiTheme="minorEastAsia" w:cstheme="minorEastAsia"/>
          <w:b w:val="0"/>
          <w:bCs/>
          <w:szCs w:val="21"/>
          <w:lang w:eastAsia="zh-CN"/>
        </w:rPr>
        <w:t>）</w:t>
      </w:r>
      <w:r>
        <w:rPr>
          <w:rFonts w:hint="eastAsia" w:asciiTheme="minorEastAsia" w:hAnsiTheme="minorEastAsia" w:eastAsiaTheme="minorEastAsia" w:cstheme="minorEastAsia"/>
          <w:b w:val="0"/>
          <w:bCs/>
          <w:szCs w:val="21"/>
          <w:lang w:eastAsia="zh-CN"/>
        </w:rPr>
        <w:t>的购进、使用、库存以及追溯码等信息。</w:t>
      </w:r>
    </w:p>
    <w:p w14:paraId="09B1FF06">
      <w:pPr>
        <w:spacing w:line="320" w:lineRule="exact"/>
        <w:rPr>
          <w:rFonts w:hint="eastAsia" w:asciiTheme="minorEastAsia" w:hAnsiTheme="minorEastAsia" w:eastAsiaTheme="minorEastAsia" w:cstheme="minorEastAsia"/>
          <w:b w:val="0"/>
          <w:bCs/>
          <w:szCs w:val="21"/>
          <w:lang w:eastAsia="zh-CN"/>
        </w:rPr>
      </w:pPr>
      <w:r>
        <w:rPr>
          <w:rFonts w:hint="eastAsia" w:asciiTheme="minorEastAsia" w:hAnsiTheme="minorEastAsia" w:eastAsiaTheme="minorEastAsia" w:cstheme="minorEastAsia"/>
          <w:b w:val="0"/>
          <w:bCs/>
          <w:szCs w:val="21"/>
          <w:lang w:eastAsia="zh-CN"/>
        </w:rPr>
        <w:t>3、对全院所有院区，包括门急诊药房、静配中心、药库、住院药房的整盒及拆零等药品实现追溯码采集上传工作；同时具备药库、门急诊药房、住院药房、静配中心、三级库、出院带药、退药、报表管理等药品追溯码管理功能模块。</w:t>
      </w:r>
    </w:p>
    <w:p w14:paraId="1B5F5B04">
      <w:pPr>
        <w:spacing w:line="320" w:lineRule="exact"/>
        <w:rPr>
          <w:rFonts w:hint="eastAsia" w:asciiTheme="minorEastAsia" w:hAnsiTheme="minorEastAsia" w:eastAsiaTheme="minorEastAsia" w:cstheme="minorEastAsia"/>
          <w:b w:val="0"/>
          <w:bCs/>
          <w:szCs w:val="21"/>
          <w:lang w:eastAsia="zh-CN"/>
        </w:rPr>
      </w:pPr>
      <w:r>
        <w:rPr>
          <w:rFonts w:hint="eastAsia" w:asciiTheme="minorEastAsia" w:hAnsiTheme="minorEastAsia" w:eastAsiaTheme="minorEastAsia" w:cstheme="minorEastAsia"/>
          <w:b w:val="0"/>
          <w:bCs/>
          <w:szCs w:val="21"/>
          <w:lang w:eastAsia="zh-CN"/>
        </w:rPr>
        <w:t>4、当医保及药监部门</w:t>
      </w:r>
      <w:r>
        <w:rPr>
          <w:rFonts w:hint="eastAsia" w:asciiTheme="minorEastAsia" w:hAnsiTheme="minorEastAsia" w:cstheme="minorEastAsia"/>
          <w:b w:val="0"/>
          <w:bCs/>
          <w:szCs w:val="21"/>
          <w:lang w:val="en-US" w:eastAsia="zh-CN"/>
        </w:rPr>
        <w:t>及上级主管单位</w:t>
      </w:r>
      <w:r>
        <w:rPr>
          <w:rFonts w:hint="eastAsia" w:asciiTheme="minorEastAsia" w:hAnsiTheme="minorEastAsia" w:eastAsiaTheme="minorEastAsia" w:cstheme="minorEastAsia"/>
          <w:b w:val="0"/>
          <w:bCs/>
          <w:szCs w:val="21"/>
          <w:lang w:eastAsia="zh-CN"/>
        </w:rPr>
        <w:t>政策要求变更时，如接收平台更换、接收代码变更等</w:t>
      </w:r>
      <w:r>
        <w:rPr>
          <w:rFonts w:hint="eastAsia" w:asciiTheme="minorEastAsia" w:hAnsiTheme="minorEastAsia" w:cstheme="minorEastAsia"/>
          <w:b w:val="0"/>
          <w:bCs/>
          <w:szCs w:val="21"/>
          <w:lang w:eastAsia="zh-CN"/>
        </w:rPr>
        <w:t>、</w:t>
      </w:r>
      <w:r>
        <w:rPr>
          <w:rFonts w:hint="eastAsia" w:asciiTheme="minorEastAsia" w:hAnsiTheme="minorEastAsia" w:cstheme="minorEastAsia"/>
          <w:b w:val="0"/>
          <w:bCs/>
          <w:szCs w:val="21"/>
          <w:lang w:val="en-US" w:eastAsia="zh-CN"/>
        </w:rPr>
        <w:t>耗材追溯等</w:t>
      </w:r>
      <w:r>
        <w:rPr>
          <w:rFonts w:hint="eastAsia" w:asciiTheme="minorEastAsia" w:hAnsiTheme="minorEastAsia" w:eastAsiaTheme="minorEastAsia" w:cstheme="minorEastAsia"/>
          <w:b w:val="0"/>
          <w:bCs/>
          <w:szCs w:val="21"/>
          <w:lang w:eastAsia="zh-CN"/>
        </w:rPr>
        <w:t>，能够</w:t>
      </w:r>
      <w:r>
        <w:rPr>
          <w:rFonts w:hint="eastAsia" w:asciiTheme="minorEastAsia" w:hAnsiTheme="minorEastAsia" w:eastAsiaTheme="minorEastAsia" w:cstheme="minorEastAsia"/>
          <w:b w:val="0"/>
          <w:bCs/>
          <w:szCs w:val="21"/>
          <w:lang w:val="en-US" w:eastAsia="zh-CN"/>
        </w:rPr>
        <w:t>终身</w:t>
      </w:r>
      <w:r>
        <w:rPr>
          <w:rFonts w:hint="eastAsia" w:asciiTheme="minorEastAsia" w:hAnsiTheme="minorEastAsia" w:eastAsiaTheme="minorEastAsia" w:cstheme="minorEastAsia"/>
          <w:b w:val="0"/>
          <w:bCs/>
          <w:szCs w:val="21"/>
          <w:lang w:eastAsia="zh-CN"/>
        </w:rPr>
        <w:t>对系统进行免费升级及改造</w:t>
      </w:r>
      <w:r>
        <w:rPr>
          <w:rFonts w:hint="eastAsia" w:asciiTheme="minorEastAsia" w:hAnsiTheme="minorEastAsia" w:eastAsiaTheme="minorEastAsia" w:cstheme="minorEastAsia"/>
          <w:b w:val="0"/>
          <w:bCs/>
          <w:szCs w:val="21"/>
          <w:lang w:val="en-US" w:eastAsia="zh-CN"/>
        </w:rPr>
        <w:t>且根据医院要求免费对接其他第三方软件系统</w:t>
      </w:r>
      <w:r>
        <w:rPr>
          <w:rFonts w:hint="eastAsia" w:asciiTheme="minorEastAsia" w:hAnsiTheme="minorEastAsia" w:eastAsiaTheme="minorEastAsia" w:cstheme="minorEastAsia"/>
          <w:b w:val="0"/>
          <w:bCs/>
          <w:szCs w:val="21"/>
          <w:lang w:eastAsia="zh-CN"/>
        </w:rPr>
        <w:t>。</w:t>
      </w:r>
    </w:p>
    <w:p w14:paraId="2CACEDAB">
      <w:pPr>
        <w:spacing w:line="320" w:lineRule="exact"/>
        <w:rPr>
          <w:rFonts w:hint="eastAsia" w:asciiTheme="minorEastAsia" w:hAnsiTheme="minorEastAsia" w:eastAsiaTheme="minorEastAsia" w:cstheme="minorEastAsia"/>
          <w:b w:val="0"/>
          <w:bCs/>
          <w:szCs w:val="21"/>
          <w:lang w:eastAsia="zh-CN"/>
        </w:rPr>
      </w:pPr>
      <w:r>
        <w:rPr>
          <w:rFonts w:hint="eastAsia" w:asciiTheme="minorEastAsia" w:hAnsiTheme="minorEastAsia" w:eastAsiaTheme="minorEastAsia" w:cstheme="minorEastAsia"/>
          <w:b w:val="0"/>
          <w:bCs/>
          <w:szCs w:val="21"/>
          <w:lang w:eastAsia="zh-CN"/>
        </w:rPr>
        <w:t>5、系统性能要求：支持多品种多数量追溯码批量采集上传，支持同一患者多张处方一次性核发上传；软件弹框对错误、多拿、少拿药品进行提示；可支持在发药和摆药两个阶段进行药品追溯码扫描。</w:t>
      </w:r>
    </w:p>
    <w:p w14:paraId="433ED6A3">
      <w:pPr>
        <w:spacing w:line="320" w:lineRule="exact"/>
        <w:rPr>
          <w:rFonts w:hint="eastAsia" w:asciiTheme="minorEastAsia" w:hAnsiTheme="minorEastAsia" w:eastAsiaTheme="minorEastAsia" w:cstheme="minorEastAsia"/>
          <w:b w:val="0"/>
          <w:bCs/>
          <w:szCs w:val="21"/>
          <w:lang w:eastAsia="zh-CN"/>
        </w:rPr>
      </w:pPr>
      <w:r>
        <w:rPr>
          <w:rFonts w:hint="eastAsia" w:asciiTheme="minorEastAsia" w:hAnsiTheme="minorEastAsia" w:eastAsiaTheme="minorEastAsia" w:cstheme="minorEastAsia"/>
          <w:b w:val="0"/>
          <w:bCs/>
          <w:szCs w:val="21"/>
          <w:lang w:eastAsia="zh-CN"/>
        </w:rPr>
        <w:t>6、应保证满足上级主管医保部门的文件要求，并确保在文件的期限内进行相应的系统维护，如不能在其规定的期限内完成，给医院造成损失的，需承担相应的法律责任。</w:t>
      </w:r>
    </w:p>
    <w:p w14:paraId="32415231">
      <w:pPr>
        <w:spacing w:line="320" w:lineRule="exact"/>
        <w:rPr>
          <w:rFonts w:hint="eastAsia" w:asciiTheme="minorEastAsia" w:hAnsiTheme="minorEastAsia" w:eastAsiaTheme="minorEastAsia" w:cstheme="minorEastAsia"/>
          <w:b w:val="0"/>
          <w:bCs/>
          <w:szCs w:val="21"/>
          <w:lang w:val="en-US" w:eastAsia="zh-CN"/>
        </w:rPr>
      </w:pPr>
      <w:r>
        <w:rPr>
          <w:rFonts w:hint="eastAsia" w:asciiTheme="minorEastAsia" w:hAnsiTheme="minorEastAsia" w:eastAsiaTheme="minorEastAsia" w:cstheme="minorEastAsia"/>
          <w:b w:val="0"/>
          <w:bCs/>
          <w:szCs w:val="21"/>
          <w:lang w:val="en-US" w:eastAsia="zh-CN"/>
        </w:rPr>
        <w:t>7、其他要求：后期新增</w:t>
      </w:r>
      <w:r>
        <w:rPr>
          <w:rFonts w:hint="eastAsia" w:asciiTheme="minorEastAsia" w:hAnsiTheme="minorEastAsia" w:cstheme="minorEastAsia"/>
          <w:b w:val="0"/>
          <w:bCs/>
          <w:szCs w:val="21"/>
          <w:lang w:val="en-US" w:eastAsia="zh-CN"/>
        </w:rPr>
        <w:t>扫码</w:t>
      </w:r>
      <w:r>
        <w:rPr>
          <w:rFonts w:hint="eastAsia" w:asciiTheme="minorEastAsia" w:hAnsiTheme="minorEastAsia" w:eastAsiaTheme="minorEastAsia" w:cstheme="minorEastAsia"/>
          <w:b w:val="0"/>
          <w:bCs/>
          <w:szCs w:val="21"/>
          <w:lang w:val="en-US" w:eastAsia="zh-CN"/>
        </w:rPr>
        <w:t>设备，中标商需无条件免费对接适配，不得以软硬件绑定销售为由，拒绝对接。</w:t>
      </w:r>
    </w:p>
    <w:p w14:paraId="390B5FFF">
      <w:pPr>
        <w:spacing w:line="320" w:lineRule="exact"/>
        <w:rPr>
          <w:rFonts w:hint="eastAsia" w:ascii="仿宋" w:hAnsi="仿宋" w:eastAsia="仿宋"/>
          <w:b/>
          <w:szCs w:val="21"/>
          <w:lang w:val="en-US" w:eastAsia="zh-CN"/>
        </w:rPr>
      </w:pPr>
    </w:p>
    <w:p w14:paraId="69E44DF1">
      <w:pPr>
        <w:spacing w:line="320" w:lineRule="exact"/>
        <w:rPr>
          <w:rFonts w:hint="eastAsia" w:ascii="仿宋" w:hAnsi="仿宋" w:eastAsia="仿宋"/>
          <w:b/>
          <w:szCs w:val="21"/>
          <w:lang w:val="en-US" w:eastAsia="zh-CN"/>
        </w:rPr>
      </w:pPr>
    </w:p>
    <w:p w14:paraId="2C0E6202">
      <w:pPr>
        <w:spacing w:line="320" w:lineRule="exact"/>
        <w:rPr>
          <w:rFonts w:hint="eastAsia" w:asciiTheme="minorEastAsia" w:hAnsiTheme="minorEastAsia" w:eastAsiaTheme="minorEastAsia" w:cstheme="minorEastAsia"/>
          <w:b w:val="0"/>
          <w:bCs/>
          <w:szCs w:val="21"/>
          <w:lang w:eastAsia="zh-CN"/>
        </w:rPr>
      </w:pPr>
      <w:r>
        <w:rPr>
          <w:rFonts w:hint="eastAsia" w:ascii="仿宋" w:hAnsi="仿宋" w:eastAsia="仿宋"/>
          <w:b/>
          <w:szCs w:val="21"/>
          <w:lang w:val="en-US" w:eastAsia="zh-CN"/>
        </w:rPr>
        <w:t>附件</w:t>
      </w:r>
      <w:r>
        <w:rPr>
          <w:rFonts w:hint="eastAsia" w:ascii="仿宋" w:hAnsi="仿宋" w:eastAsia="仿宋"/>
          <w:b/>
          <w:szCs w:val="21"/>
        </w:rPr>
        <w:t>：拟购项目初步参数结构</w:t>
      </w:r>
    </w:p>
    <w:tbl>
      <w:tblPr>
        <w:tblStyle w:val="9"/>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57"/>
        <w:gridCol w:w="4190"/>
        <w:gridCol w:w="775"/>
        <w:gridCol w:w="848"/>
        <w:gridCol w:w="1016"/>
        <w:gridCol w:w="1020"/>
      </w:tblGrid>
      <w:tr w14:paraId="3F11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8" w:type="dxa"/>
            <w:gridSpan w:val="4"/>
            <w:tcBorders>
              <w:top w:val="single" w:color="auto" w:sz="4" w:space="0"/>
              <w:left w:val="single" w:color="auto" w:sz="4" w:space="0"/>
              <w:bottom w:val="single" w:color="auto" w:sz="4" w:space="0"/>
              <w:right w:val="single" w:color="auto" w:sz="4" w:space="0"/>
            </w:tcBorders>
            <w:noWrap w:val="0"/>
            <w:vAlign w:val="center"/>
          </w:tcPr>
          <w:p w14:paraId="78D8EA3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本项目初步参数拟设置情况</w:t>
            </w:r>
          </w:p>
        </w:tc>
        <w:tc>
          <w:tcPr>
            <w:tcW w:w="848" w:type="dxa"/>
            <w:vMerge w:val="restart"/>
            <w:tcBorders>
              <w:top w:val="single" w:color="auto" w:sz="4" w:space="0"/>
              <w:left w:val="single" w:color="auto" w:sz="4" w:space="0"/>
              <w:right w:val="single" w:color="auto" w:sz="4" w:space="0"/>
            </w:tcBorders>
            <w:noWrap w:val="0"/>
            <w:vAlign w:val="center"/>
          </w:tcPr>
          <w:p w14:paraId="4CC6995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响应情况</w:t>
            </w:r>
          </w:p>
        </w:tc>
        <w:tc>
          <w:tcPr>
            <w:tcW w:w="1016" w:type="dxa"/>
            <w:vMerge w:val="restart"/>
            <w:tcBorders>
              <w:top w:val="single" w:color="auto" w:sz="4" w:space="0"/>
              <w:left w:val="single" w:color="auto" w:sz="4" w:space="0"/>
              <w:right w:val="single" w:color="auto" w:sz="4" w:space="0"/>
            </w:tcBorders>
            <w:noWrap w:val="0"/>
            <w:vAlign w:val="center"/>
          </w:tcPr>
          <w:p w14:paraId="000FE75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建议修改指标</w:t>
            </w:r>
          </w:p>
        </w:tc>
        <w:tc>
          <w:tcPr>
            <w:tcW w:w="1020" w:type="dxa"/>
            <w:vMerge w:val="restart"/>
            <w:tcBorders>
              <w:top w:val="single" w:color="auto" w:sz="4" w:space="0"/>
              <w:left w:val="single" w:color="auto" w:sz="4" w:space="0"/>
              <w:right w:val="single" w:color="auto" w:sz="4" w:space="0"/>
            </w:tcBorders>
            <w:noWrap w:val="0"/>
            <w:vAlign w:val="top"/>
          </w:tcPr>
          <w:p w14:paraId="26C2F43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备注（真实指标、是否独家、是否提供有效检测报告）</w:t>
            </w:r>
          </w:p>
        </w:tc>
      </w:tr>
      <w:tr w14:paraId="3E1F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5843AEFC">
            <w:pPr>
              <w:pStyle w:val="18"/>
              <w:widowControl/>
              <w:kinsoku w:val="0"/>
              <w:overflowPunct w:val="0"/>
              <w:spacing w:line="400" w:lineRule="exact"/>
              <w:rPr>
                <w:rFonts w:hint="default"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序号</w:t>
            </w:r>
          </w:p>
        </w:tc>
        <w:tc>
          <w:tcPr>
            <w:tcW w:w="1157" w:type="dxa"/>
            <w:tcBorders>
              <w:top w:val="single" w:color="auto" w:sz="4" w:space="0"/>
              <w:left w:val="single" w:color="auto" w:sz="4" w:space="0"/>
              <w:bottom w:val="single" w:color="auto" w:sz="4" w:space="0"/>
              <w:right w:val="single" w:color="auto" w:sz="4" w:space="0"/>
            </w:tcBorders>
            <w:noWrap w:val="0"/>
            <w:vAlign w:val="center"/>
          </w:tcPr>
          <w:p w14:paraId="6B36F683">
            <w:pPr>
              <w:pStyle w:val="18"/>
              <w:widowControl/>
              <w:kinsoku w:val="0"/>
              <w:overflowPunct w:val="0"/>
              <w:spacing w:line="400" w:lineRule="exact"/>
              <w:jc w:val="center"/>
              <w:rPr>
                <w:rFonts w:hint="default"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系统模块</w:t>
            </w:r>
          </w:p>
        </w:tc>
        <w:tc>
          <w:tcPr>
            <w:tcW w:w="4190" w:type="dxa"/>
            <w:tcBorders>
              <w:top w:val="single" w:color="auto" w:sz="4" w:space="0"/>
              <w:left w:val="single" w:color="auto" w:sz="4" w:space="0"/>
              <w:bottom w:val="single" w:color="auto" w:sz="4" w:space="0"/>
              <w:right w:val="single" w:color="auto" w:sz="4" w:space="0"/>
            </w:tcBorders>
            <w:noWrap w:val="0"/>
            <w:vAlign w:val="top"/>
          </w:tcPr>
          <w:p w14:paraId="46939BB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初步参数设置情况</w:t>
            </w:r>
          </w:p>
        </w:tc>
        <w:tc>
          <w:tcPr>
            <w:tcW w:w="775" w:type="dxa"/>
            <w:tcBorders>
              <w:top w:val="single" w:color="auto" w:sz="4" w:space="0"/>
              <w:left w:val="single" w:color="auto" w:sz="4" w:space="0"/>
              <w:bottom w:val="single" w:color="auto" w:sz="4" w:space="0"/>
              <w:right w:val="single" w:color="auto" w:sz="4" w:space="0"/>
            </w:tcBorders>
            <w:noWrap w:val="0"/>
            <w:vAlign w:val="top"/>
          </w:tcPr>
          <w:p w14:paraId="4E2CD85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是否设置为为★</w:t>
            </w:r>
          </w:p>
        </w:tc>
        <w:tc>
          <w:tcPr>
            <w:tcW w:w="848" w:type="dxa"/>
            <w:vMerge w:val="continue"/>
            <w:tcBorders>
              <w:left w:val="single" w:color="auto" w:sz="4" w:space="0"/>
              <w:right w:val="single" w:color="auto" w:sz="4" w:space="0"/>
            </w:tcBorders>
            <w:noWrap w:val="0"/>
            <w:vAlign w:val="center"/>
          </w:tcPr>
          <w:p w14:paraId="36A596C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4E66F3B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079D189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0CCC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46" w:type="dxa"/>
            <w:vMerge w:val="restart"/>
            <w:tcBorders>
              <w:top w:val="single" w:color="auto" w:sz="4" w:space="0"/>
              <w:left w:val="single" w:color="auto" w:sz="4" w:space="0"/>
              <w:right w:val="single" w:color="auto" w:sz="4" w:space="0"/>
            </w:tcBorders>
            <w:noWrap w:val="0"/>
            <w:vAlign w:val="center"/>
          </w:tcPr>
          <w:p w14:paraId="7DDD2C91">
            <w:pPr>
              <w:pStyle w:val="18"/>
              <w:widowControl/>
              <w:kinsoku w:val="0"/>
              <w:overflowPunct w:val="0"/>
              <w:spacing w:line="400" w:lineRule="exact"/>
              <w:jc w:val="center"/>
              <w:rPr>
                <w:rFonts w:hint="default"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系统软件功能</w:t>
            </w:r>
          </w:p>
        </w:tc>
        <w:tc>
          <w:tcPr>
            <w:tcW w:w="1157" w:type="dxa"/>
            <w:vMerge w:val="restart"/>
            <w:tcBorders>
              <w:top w:val="single" w:color="auto" w:sz="4" w:space="0"/>
              <w:left w:val="single" w:color="auto" w:sz="4" w:space="0"/>
              <w:right w:val="single" w:color="auto" w:sz="4" w:space="0"/>
            </w:tcBorders>
            <w:noWrap w:val="0"/>
            <w:vAlign w:val="center"/>
          </w:tcPr>
          <w:p w14:paraId="4B613E2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系统软件功能要求</w:t>
            </w:r>
          </w:p>
        </w:tc>
        <w:tc>
          <w:tcPr>
            <w:tcW w:w="4190" w:type="dxa"/>
            <w:tcBorders>
              <w:top w:val="single" w:color="auto" w:sz="4" w:space="0"/>
              <w:left w:val="single" w:color="auto" w:sz="4" w:space="0"/>
              <w:bottom w:val="single" w:color="auto" w:sz="4" w:space="0"/>
              <w:right w:val="single" w:color="auto" w:sz="4" w:space="0"/>
            </w:tcBorders>
            <w:noWrap w:val="0"/>
            <w:vAlign w:val="top"/>
          </w:tcPr>
          <w:p w14:paraId="3ACCC26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支持多种接口协议对接，系统具有良好的扩展性。与码上放心平台、省药品采购平台、HIS系统、包药机系统等无缝对接，支持视图方式、WEBSERVICE方式、API方式等。通过追溯码获取药品的批号和效期，方便药房对药品的效期和批号管理。</w:t>
            </w:r>
          </w:p>
        </w:tc>
        <w:tc>
          <w:tcPr>
            <w:tcW w:w="775" w:type="dxa"/>
            <w:tcBorders>
              <w:top w:val="single" w:color="auto" w:sz="4" w:space="0"/>
              <w:left w:val="single" w:color="auto" w:sz="4" w:space="0"/>
              <w:bottom w:val="single" w:color="auto" w:sz="4" w:space="0"/>
              <w:right w:val="single" w:color="auto" w:sz="4" w:space="0"/>
            </w:tcBorders>
            <w:noWrap w:val="0"/>
            <w:vAlign w:val="top"/>
          </w:tcPr>
          <w:p w14:paraId="3E8748C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05B2266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3E6ED61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147FA2D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11E4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46" w:type="dxa"/>
            <w:vMerge w:val="continue"/>
            <w:tcBorders>
              <w:left w:val="single" w:color="auto" w:sz="4" w:space="0"/>
              <w:right w:val="single" w:color="auto" w:sz="4" w:space="0"/>
            </w:tcBorders>
            <w:noWrap w:val="0"/>
            <w:vAlign w:val="center"/>
          </w:tcPr>
          <w:p w14:paraId="49D1BA89">
            <w:pPr>
              <w:pStyle w:val="18"/>
              <w:widowControl/>
              <w:kinsoku w:val="0"/>
              <w:overflowPunct w:val="0"/>
              <w:spacing w:line="400" w:lineRule="exact"/>
              <w:jc w:val="center"/>
            </w:pPr>
          </w:p>
        </w:tc>
        <w:tc>
          <w:tcPr>
            <w:tcW w:w="1157" w:type="dxa"/>
            <w:vMerge w:val="continue"/>
            <w:tcBorders>
              <w:left w:val="single" w:color="auto" w:sz="4" w:space="0"/>
              <w:right w:val="single" w:color="auto" w:sz="4" w:space="0"/>
            </w:tcBorders>
            <w:noWrap w:val="0"/>
            <w:vAlign w:val="center"/>
          </w:tcPr>
          <w:p w14:paraId="64338089">
            <w:pPr>
              <w:pStyle w:val="18"/>
              <w:widowControl/>
              <w:kinsoku w:val="0"/>
              <w:overflowPunct w:val="0"/>
              <w:spacing w:line="400" w:lineRule="exact"/>
              <w:jc w:val="center"/>
            </w:pPr>
          </w:p>
        </w:tc>
        <w:tc>
          <w:tcPr>
            <w:tcW w:w="4190" w:type="dxa"/>
            <w:tcBorders>
              <w:top w:val="single" w:color="auto" w:sz="4" w:space="0"/>
              <w:left w:val="single" w:color="auto" w:sz="4" w:space="0"/>
              <w:bottom w:val="single" w:color="auto" w:sz="4" w:space="0"/>
              <w:right w:val="single" w:color="auto" w:sz="4" w:space="0"/>
            </w:tcBorders>
            <w:noWrap w:val="0"/>
            <w:vAlign w:val="top"/>
          </w:tcPr>
          <w:p w14:paraId="2FC9AAC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扫码设备兼容性：支持手持PDA、扫码枪、高拍仪等。</w:t>
            </w:r>
          </w:p>
        </w:tc>
        <w:tc>
          <w:tcPr>
            <w:tcW w:w="775" w:type="dxa"/>
            <w:tcBorders>
              <w:top w:val="single" w:color="auto" w:sz="4" w:space="0"/>
              <w:left w:val="single" w:color="auto" w:sz="4" w:space="0"/>
              <w:bottom w:val="single" w:color="auto" w:sz="4" w:space="0"/>
              <w:right w:val="single" w:color="auto" w:sz="4" w:space="0"/>
            </w:tcBorders>
            <w:noWrap w:val="0"/>
            <w:vAlign w:val="top"/>
          </w:tcPr>
          <w:p w14:paraId="2050643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119BE17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3E72048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210590F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013C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46" w:type="dxa"/>
            <w:vMerge w:val="continue"/>
            <w:tcBorders>
              <w:left w:val="single" w:color="auto" w:sz="4" w:space="0"/>
              <w:right w:val="single" w:color="auto" w:sz="4" w:space="0"/>
            </w:tcBorders>
            <w:noWrap w:val="0"/>
            <w:vAlign w:val="center"/>
          </w:tcPr>
          <w:p w14:paraId="6809BB2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08D1723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top"/>
          </w:tcPr>
          <w:p w14:paraId="5AFC5B7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具备药品信息录入、扫码数据采集、异常预警（如重复扫码、无效码、发药错误、过期、近效期）、统计分析功能。</w:t>
            </w:r>
          </w:p>
        </w:tc>
        <w:tc>
          <w:tcPr>
            <w:tcW w:w="775" w:type="dxa"/>
            <w:tcBorders>
              <w:top w:val="single" w:color="auto" w:sz="4" w:space="0"/>
              <w:left w:val="single" w:color="auto" w:sz="4" w:space="0"/>
              <w:bottom w:val="single" w:color="auto" w:sz="4" w:space="0"/>
              <w:right w:val="single" w:color="auto" w:sz="4" w:space="0"/>
            </w:tcBorders>
            <w:noWrap w:val="0"/>
            <w:vAlign w:val="top"/>
          </w:tcPr>
          <w:p w14:paraId="3C4E207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1CE6A8A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03A4259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1D4A900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183D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46" w:type="dxa"/>
            <w:vMerge w:val="continue"/>
            <w:tcBorders>
              <w:left w:val="single" w:color="auto" w:sz="4" w:space="0"/>
              <w:right w:val="single" w:color="auto" w:sz="4" w:space="0"/>
            </w:tcBorders>
            <w:noWrap w:val="0"/>
            <w:vAlign w:val="center"/>
          </w:tcPr>
          <w:p w14:paraId="4A72384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2D018DD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top"/>
          </w:tcPr>
          <w:p w14:paraId="0028EA7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能够按角色（药师、护士、管理员）、按部门（药库、药房、静配）分配操作权限，支持审计日志追溯。</w:t>
            </w:r>
          </w:p>
        </w:tc>
        <w:tc>
          <w:tcPr>
            <w:tcW w:w="775" w:type="dxa"/>
            <w:tcBorders>
              <w:top w:val="single" w:color="auto" w:sz="4" w:space="0"/>
              <w:left w:val="single" w:color="auto" w:sz="4" w:space="0"/>
              <w:bottom w:val="single" w:color="auto" w:sz="4" w:space="0"/>
              <w:right w:val="single" w:color="auto" w:sz="4" w:space="0"/>
            </w:tcBorders>
            <w:noWrap w:val="0"/>
            <w:vAlign w:val="top"/>
          </w:tcPr>
          <w:p w14:paraId="1C92CFF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6E6BA79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5241E62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6626771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500E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46" w:type="dxa"/>
            <w:vMerge w:val="continue"/>
            <w:tcBorders>
              <w:left w:val="single" w:color="auto" w:sz="4" w:space="0"/>
              <w:right w:val="single" w:color="auto" w:sz="4" w:space="0"/>
            </w:tcBorders>
            <w:noWrap w:val="0"/>
            <w:vAlign w:val="center"/>
          </w:tcPr>
          <w:p w14:paraId="040A968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742D1DE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top"/>
          </w:tcPr>
          <w:p w14:paraId="5C13B8A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能够与配送企业进行追溯码对接，使配送企业追溯码信息同步至医院系统，方便医院追溯码的入库采集。</w:t>
            </w:r>
          </w:p>
        </w:tc>
        <w:tc>
          <w:tcPr>
            <w:tcW w:w="775" w:type="dxa"/>
            <w:tcBorders>
              <w:top w:val="single" w:color="auto" w:sz="4" w:space="0"/>
              <w:left w:val="single" w:color="auto" w:sz="4" w:space="0"/>
              <w:bottom w:val="single" w:color="auto" w:sz="4" w:space="0"/>
              <w:right w:val="single" w:color="auto" w:sz="4" w:space="0"/>
            </w:tcBorders>
            <w:noWrap w:val="0"/>
            <w:vAlign w:val="top"/>
          </w:tcPr>
          <w:p w14:paraId="06DE0EF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08E511A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3875893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50A6B15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1C79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46" w:type="dxa"/>
            <w:vMerge w:val="continue"/>
            <w:tcBorders>
              <w:left w:val="single" w:color="auto" w:sz="4" w:space="0"/>
              <w:right w:val="single" w:color="auto" w:sz="4" w:space="0"/>
            </w:tcBorders>
            <w:noWrap w:val="0"/>
            <w:vAlign w:val="center"/>
          </w:tcPr>
          <w:p w14:paraId="6B7EEFA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29F2761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top"/>
          </w:tcPr>
          <w:p w14:paraId="61FF17E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为满足多系统之间互联互通要求，方便后期对数据接口以及软件故障排查，系统需具备日志功能，方便后期日常维护工作。</w:t>
            </w:r>
          </w:p>
        </w:tc>
        <w:tc>
          <w:tcPr>
            <w:tcW w:w="775" w:type="dxa"/>
            <w:tcBorders>
              <w:top w:val="single" w:color="auto" w:sz="4" w:space="0"/>
              <w:left w:val="single" w:color="auto" w:sz="4" w:space="0"/>
              <w:bottom w:val="single" w:color="auto" w:sz="4" w:space="0"/>
              <w:right w:val="single" w:color="auto" w:sz="4" w:space="0"/>
            </w:tcBorders>
            <w:noWrap w:val="0"/>
            <w:vAlign w:val="top"/>
          </w:tcPr>
          <w:p w14:paraId="0B565AA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6F5F71D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3E2C92B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6947051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4C04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46" w:type="dxa"/>
            <w:vMerge w:val="continue"/>
            <w:tcBorders>
              <w:left w:val="single" w:color="auto" w:sz="4" w:space="0"/>
              <w:right w:val="single" w:color="auto" w:sz="4" w:space="0"/>
            </w:tcBorders>
            <w:noWrap w:val="0"/>
            <w:vAlign w:val="center"/>
          </w:tcPr>
          <w:p w14:paraId="142253A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0E35C7A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top"/>
          </w:tcPr>
          <w:p w14:paraId="714460B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系统自带药品字典库（包含药品追溯码信息），支持接口对接和手工维护两种方式，至少能存储2年的药品追溯码数据。</w:t>
            </w:r>
          </w:p>
        </w:tc>
        <w:tc>
          <w:tcPr>
            <w:tcW w:w="775" w:type="dxa"/>
            <w:tcBorders>
              <w:top w:val="single" w:color="auto" w:sz="4" w:space="0"/>
              <w:left w:val="single" w:color="auto" w:sz="4" w:space="0"/>
              <w:bottom w:val="single" w:color="auto" w:sz="4" w:space="0"/>
              <w:right w:val="single" w:color="auto" w:sz="4" w:space="0"/>
            </w:tcBorders>
            <w:noWrap w:val="0"/>
            <w:vAlign w:val="top"/>
          </w:tcPr>
          <w:p w14:paraId="0607E7E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57AA615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3B321E0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08ABFB5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E3C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46" w:type="dxa"/>
            <w:vMerge w:val="continue"/>
            <w:tcBorders>
              <w:left w:val="single" w:color="auto" w:sz="4" w:space="0"/>
              <w:right w:val="single" w:color="auto" w:sz="4" w:space="0"/>
            </w:tcBorders>
            <w:noWrap w:val="0"/>
            <w:vAlign w:val="center"/>
          </w:tcPr>
          <w:p w14:paraId="65A775E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5B0D274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top"/>
          </w:tcPr>
          <w:p w14:paraId="51B8A7B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系统设备可以提前将拆零药品信息维护进库，发药时自动判定拆零药品，在发药或配药显示为已赋码。</w:t>
            </w:r>
          </w:p>
        </w:tc>
        <w:tc>
          <w:tcPr>
            <w:tcW w:w="775" w:type="dxa"/>
            <w:tcBorders>
              <w:top w:val="single" w:color="auto" w:sz="4" w:space="0"/>
              <w:left w:val="single" w:color="auto" w:sz="4" w:space="0"/>
              <w:bottom w:val="single" w:color="auto" w:sz="4" w:space="0"/>
              <w:right w:val="single" w:color="auto" w:sz="4" w:space="0"/>
            </w:tcBorders>
            <w:noWrap w:val="0"/>
            <w:vAlign w:val="top"/>
          </w:tcPr>
          <w:p w14:paraId="140B7CB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7882ECA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3B13CFF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3DD07A0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09F8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46" w:type="dxa"/>
            <w:vMerge w:val="continue"/>
            <w:tcBorders>
              <w:left w:val="single" w:color="auto" w:sz="4" w:space="0"/>
              <w:right w:val="single" w:color="auto" w:sz="4" w:space="0"/>
            </w:tcBorders>
            <w:noWrap w:val="0"/>
            <w:vAlign w:val="center"/>
          </w:tcPr>
          <w:p w14:paraId="0B52345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303873A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top"/>
          </w:tcPr>
          <w:p w14:paraId="07DF63E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系统设备可以将患者处方信息与扫描到的追溯码信息进行绑定和核对，当追溯码信息有误或完全正确时，可语音播报提示药师，完成药品与处方的二次核对。</w:t>
            </w:r>
          </w:p>
        </w:tc>
        <w:tc>
          <w:tcPr>
            <w:tcW w:w="775" w:type="dxa"/>
            <w:tcBorders>
              <w:top w:val="single" w:color="auto" w:sz="4" w:space="0"/>
              <w:left w:val="single" w:color="auto" w:sz="4" w:space="0"/>
              <w:bottom w:val="single" w:color="auto" w:sz="4" w:space="0"/>
              <w:right w:val="single" w:color="auto" w:sz="4" w:space="0"/>
            </w:tcBorders>
            <w:noWrap w:val="0"/>
            <w:vAlign w:val="top"/>
          </w:tcPr>
          <w:p w14:paraId="3922801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1569467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24D339C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0336671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63B7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restart"/>
            <w:tcBorders>
              <w:top w:val="single" w:color="auto" w:sz="4" w:space="0"/>
              <w:left w:val="single" w:color="auto" w:sz="4" w:space="0"/>
              <w:right w:val="single" w:color="auto" w:sz="4" w:space="0"/>
            </w:tcBorders>
            <w:noWrap w:val="0"/>
            <w:vAlign w:val="center"/>
          </w:tcPr>
          <w:p w14:paraId="2BBEC0FC">
            <w:pPr>
              <w:pStyle w:val="18"/>
              <w:widowControl/>
              <w:kinsoku w:val="0"/>
              <w:overflowPunct w:val="0"/>
              <w:spacing w:line="400" w:lineRule="exact"/>
              <w:rPr>
                <w:rFonts w:hint="default" w:ascii="仿宋" w:hAnsi="仿宋" w:eastAsia="仿宋" w:cstheme="minorBidi"/>
                <w:bCs/>
                <w:kern w:val="2"/>
                <w:sz w:val="21"/>
                <w:szCs w:val="21"/>
                <w:lang w:val="en-US" w:eastAsia="zh-CN" w:bidi="ar-SA"/>
              </w:rPr>
            </w:pPr>
            <w:bookmarkStart w:id="0" w:name="_Toc193794677"/>
            <w:r>
              <w:rPr>
                <w:rFonts w:hint="default" w:ascii="仿宋" w:hAnsi="仿宋" w:eastAsia="仿宋" w:cstheme="minorBidi"/>
                <w:bCs/>
                <w:kern w:val="2"/>
                <w:sz w:val="21"/>
                <w:szCs w:val="21"/>
                <w:lang w:val="en-US" w:eastAsia="zh-CN" w:bidi="ar-SA"/>
              </w:rPr>
              <w:t>药库追溯码管理</w:t>
            </w:r>
            <w:bookmarkEnd w:id="0"/>
          </w:p>
        </w:tc>
        <w:tc>
          <w:tcPr>
            <w:tcW w:w="1157" w:type="dxa"/>
            <w:tcBorders>
              <w:top w:val="single" w:color="auto" w:sz="4" w:space="0"/>
              <w:left w:val="single" w:color="auto" w:sz="4" w:space="0"/>
              <w:right w:val="single" w:color="auto" w:sz="4" w:space="0"/>
            </w:tcBorders>
            <w:noWrap w:val="0"/>
            <w:vAlign w:val="center"/>
          </w:tcPr>
          <w:p w14:paraId="2C2C446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订单上传</w:t>
            </w:r>
          </w:p>
        </w:tc>
        <w:tc>
          <w:tcPr>
            <w:tcW w:w="4190" w:type="dxa"/>
            <w:tcBorders>
              <w:top w:val="single" w:color="auto" w:sz="4" w:space="0"/>
              <w:left w:val="single" w:color="auto" w:sz="4" w:space="0"/>
              <w:bottom w:val="single" w:color="auto" w:sz="4" w:space="0"/>
              <w:right w:val="single" w:color="auto" w:sz="4" w:space="0"/>
            </w:tcBorders>
            <w:noWrap w:val="0"/>
            <w:vAlign w:val="top"/>
          </w:tcPr>
          <w:p w14:paraId="35B4E67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接入省级药品采购平台，根据采购计划自动生成匹配模板，支持批量上传至省采平台，无需人工逐条录入</w:t>
            </w:r>
          </w:p>
        </w:tc>
        <w:tc>
          <w:tcPr>
            <w:tcW w:w="775" w:type="dxa"/>
            <w:tcBorders>
              <w:top w:val="single" w:color="auto" w:sz="4" w:space="0"/>
              <w:left w:val="single" w:color="auto" w:sz="4" w:space="0"/>
              <w:bottom w:val="single" w:color="auto" w:sz="4" w:space="0"/>
              <w:right w:val="single" w:color="auto" w:sz="4" w:space="0"/>
            </w:tcBorders>
            <w:noWrap w:val="0"/>
            <w:vAlign w:val="top"/>
          </w:tcPr>
          <w:p w14:paraId="7E647EB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4E49279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52402F1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6EC1736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E51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2A42780C">
            <w:pPr>
              <w:pStyle w:val="18"/>
              <w:widowControl/>
              <w:kinsoku w:val="0"/>
              <w:overflowPunct w:val="0"/>
              <w:spacing w:line="400" w:lineRule="exact"/>
              <w:jc w:val="center"/>
            </w:pPr>
          </w:p>
        </w:tc>
        <w:tc>
          <w:tcPr>
            <w:tcW w:w="1157" w:type="dxa"/>
            <w:tcBorders>
              <w:left w:val="single" w:color="auto" w:sz="4" w:space="0"/>
              <w:right w:val="single" w:color="auto" w:sz="4" w:space="0"/>
            </w:tcBorders>
            <w:noWrap w:val="0"/>
            <w:vAlign w:val="center"/>
          </w:tcPr>
          <w:p w14:paraId="3A1E308A">
            <w:pPr>
              <w:pStyle w:val="18"/>
              <w:widowControl/>
              <w:kinsoku w:val="0"/>
              <w:overflowPunct w:val="0"/>
              <w:spacing w:line="400" w:lineRule="exact"/>
              <w:jc w:val="center"/>
            </w:pPr>
            <w:r>
              <w:rPr>
                <w:rFonts w:hint="eastAsia" w:ascii="仿宋" w:hAnsi="仿宋" w:eastAsia="仿宋" w:cstheme="minorBidi"/>
                <w:bCs/>
                <w:kern w:val="2"/>
                <w:sz w:val="21"/>
                <w:szCs w:val="21"/>
                <w:lang w:val="en-US" w:eastAsia="zh-CN" w:bidi="ar-SA"/>
              </w:rPr>
              <w:t>目录变更提醒</w:t>
            </w:r>
          </w:p>
        </w:tc>
        <w:tc>
          <w:tcPr>
            <w:tcW w:w="4190" w:type="dxa"/>
            <w:tcBorders>
              <w:top w:val="single" w:color="auto" w:sz="4" w:space="0"/>
              <w:left w:val="single" w:color="auto" w:sz="4" w:space="0"/>
              <w:bottom w:val="single" w:color="auto" w:sz="4" w:space="0"/>
              <w:right w:val="single" w:color="auto" w:sz="4" w:space="0"/>
            </w:tcBorders>
            <w:noWrap w:val="0"/>
            <w:vAlign w:val="top"/>
          </w:tcPr>
          <w:p w14:paraId="7F0BE4E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目录里面药品价格、配送关系、集采目录、医保码的变更，需要能够及时通知变更信息</w:t>
            </w:r>
          </w:p>
        </w:tc>
        <w:tc>
          <w:tcPr>
            <w:tcW w:w="775" w:type="dxa"/>
            <w:tcBorders>
              <w:top w:val="single" w:color="auto" w:sz="4" w:space="0"/>
              <w:left w:val="single" w:color="auto" w:sz="4" w:space="0"/>
              <w:bottom w:val="single" w:color="auto" w:sz="4" w:space="0"/>
              <w:right w:val="single" w:color="auto" w:sz="4" w:space="0"/>
            </w:tcBorders>
            <w:noWrap w:val="0"/>
            <w:vAlign w:val="top"/>
          </w:tcPr>
          <w:p w14:paraId="158B072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779A61D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1B81E44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0BD888C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478C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846" w:type="dxa"/>
            <w:vMerge w:val="continue"/>
            <w:tcBorders>
              <w:left w:val="single" w:color="auto" w:sz="4" w:space="0"/>
              <w:right w:val="single" w:color="auto" w:sz="4" w:space="0"/>
            </w:tcBorders>
            <w:noWrap w:val="0"/>
            <w:vAlign w:val="center"/>
          </w:tcPr>
          <w:p w14:paraId="60EE5FC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restart"/>
            <w:tcBorders>
              <w:left w:val="single" w:color="auto" w:sz="4" w:space="0"/>
              <w:right w:val="single" w:color="auto" w:sz="4" w:space="0"/>
            </w:tcBorders>
            <w:noWrap w:val="0"/>
            <w:vAlign w:val="center"/>
          </w:tcPr>
          <w:p w14:paraId="4E496C8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上游配送企业赋码</w:t>
            </w:r>
          </w:p>
        </w:tc>
        <w:tc>
          <w:tcPr>
            <w:tcW w:w="4190" w:type="dxa"/>
            <w:tcBorders>
              <w:top w:val="single" w:color="auto" w:sz="4" w:space="0"/>
              <w:left w:val="single" w:color="auto" w:sz="4" w:space="0"/>
              <w:bottom w:val="single" w:color="auto" w:sz="4" w:space="0"/>
              <w:right w:val="single" w:color="auto" w:sz="4" w:space="0"/>
            </w:tcBorders>
            <w:noWrap w:val="0"/>
            <w:vAlign w:val="top"/>
          </w:tcPr>
          <w:p w14:paraId="2758984A">
            <w:pPr>
              <w:pStyle w:val="18"/>
              <w:widowControl/>
              <w:numPr>
                <w:ilvl w:val="0"/>
                <w:numId w:val="0"/>
              </w:numPr>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支持配送公司批量上传药品详细信息（包括追溯码、批号、效期等）。通过扫码配送单或发票二维码，获取完整药品信息并确认入库，形成院内追溯码信息库</w:t>
            </w:r>
          </w:p>
        </w:tc>
        <w:tc>
          <w:tcPr>
            <w:tcW w:w="775" w:type="dxa"/>
            <w:vMerge w:val="restart"/>
            <w:tcBorders>
              <w:top w:val="single" w:color="auto" w:sz="4" w:space="0"/>
              <w:left w:val="single" w:color="auto" w:sz="4" w:space="0"/>
              <w:right w:val="single" w:color="auto" w:sz="4" w:space="0"/>
            </w:tcBorders>
            <w:noWrap w:val="0"/>
            <w:vAlign w:val="top"/>
          </w:tcPr>
          <w:p w14:paraId="378077A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vMerge w:val="restart"/>
            <w:tcBorders>
              <w:left w:val="single" w:color="auto" w:sz="4" w:space="0"/>
              <w:right w:val="single" w:color="auto" w:sz="4" w:space="0"/>
            </w:tcBorders>
            <w:noWrap w:val="0"/>
            <w:vAlign w:val="center"/>
          </w:tcPr>
          <w:p w14:paraId="4310074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vMerge w:val="restart"/>
            <w:tcBorders>
              <w:left w:val="single" w:color="auto" w:sz="4" w:space="0"/>
              <w:right w:val="single" w:color="auto" w:sz="4" w:space="0"/>
            </w:tcBorders>
            <w:noWrap w:val="0"/>
            <w:vAlign w:val="center"/>
          </w:tcPr>
          <w:p w14:paraId="7846405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vMerge w:val="restart"/>
            <w:tcBorders>
              <w:left w:val="single" w:color="auto" w:sz="4" w:space="0"/>
              <w:right w:val="single" w:color="auto" w:sz="4" w:space="0"/>
            </w:tcBorders>
            <w:noWrap w:val="0"/>
            <w:vAlign w:val="top"/>
          </w:tcPr>
          <w:p w14:paraId="623A9F7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418E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846" w:type="dxa"/>
            <w:vMerge w:val="continue"/>
            <w:tcBorders>
              <w:left w:val="single" w:color="auto" w:sz="4" w:space="0"/>
              <w:right w:val="single" w:color="auto" w:sz="4" w:space="0"/>
            </w:tcBorders>
            <w:noWrap w:val="0"/>
            <w:vAlign w:val="center"/>
          </w:tcPr>
          <w:p w14:paraId="7C4D9BC7">
            <w:pPr>
              <w:pStyle w:val="18"/>
              <w:widowControl/>
              <w:kinsoku w:val="0"/>
              <w:overflowPunct w:val="0"/>
              <w:spacing w:line="400" w:lineRule="exact"/>
              <w:jc w:val="center"/>
            </w:pPr>
          </w:p>
        </w:tc>
        <w:tc>
          <w:tcPr>
            <w:tcW w:w="1157" w:type="dxa"/>
            <w:vMerge w:val="continue"/>
            <w:tcBorders>
              <w:left w:val="single" w:color="auto" w:sz="4" w:space="0"/>
              <w:right w:val="single" w:color="auto" w:sz="4" w:space="0"/>
            </w:tcBorders>
            <w:noWrap w:val="0"/>
            <w:vAlign w:val="center"/>
          </w:tcPr>
          <w:p w14:paraId="28AEAE74">
            <w:pPr>
              <w:pStyle w:val="18"/>
              <w:widowControl/>
              <w:kinsoku w:val="0"/>
              <w:overflowPunct w:val="0"/>
              <w:spacing w:line="400" w:lineRule="exact"/>
              <w:jc w:val="center"/>
            </w:pPr>
          </w:p>
        </w:tc>
        <w:tc>
          <w:tcPr>
            <w:tcW w:w="4190" w:type="dxa"/>
            <w:tcBorders>
              <w:top w:val="single" w:color="auto" w:sz="4" w:space="0"/>
              <w:left w:val="single" w:color="auto" w:sz="4" w:space="0"/>
              <w:bottom w:val="single" w:color="auto" w:sz="4" w:space="0"/>
              <w:right w:val="single" w:color="auto" w:sz="4" w:space="0"/>
            </w:tcBorders>
            <w:noWrap w:val="0"/>
            <w:vAlign w:val="top"/>
          </w:tcPr>
          <w:p w14:paraId="1DA1364D">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系统应支持跟3家及以上配送企业打通数据接口，实现扫描发票上的二维码，即可获取完整的药品追溯码信息。</w:t>
            </w:r>
          </w:p>
        </w:tc>
        <w:tc>
          <w:tcPr>
            <w:tcW w:w="775" w:type="dxa"/>
            <w:vMerge w:val="continue"/>
            <w:tcBorders>
              <w:left w:val="single" w:color="auto" w:sz="4" w:space="0"/>
              <w:right w:val="single" w:color="auto" w:sz="4" w:space="0"/>
            </w:tcBorders>
            <w:noWrap w:val="0"/>
            <w:vAlign w:val="top"/>
          </w:tcPr>
          <w:p w14:paraId="1B6167B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0B22171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0067043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3AC2172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31D2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46" w:type="dxa"/>
            <w:vMerge w:val="continue"/>
            <w:tcBorders>
              <w:left w:val="single" w:color="auto" w:sz="4" w:space="0"/>
              <w:right w:val="single" w:color="auto" w:sz="4" w:space="0"/>
            </w:tcBorders>
            <w:noWrap w:val="0"/>
            <w:vAlign w:val="center"/>
          </w:tcPr>
          <w:p w14:paraId="14C2B39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428CC88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top"/>
          </w:tcPr>
          <w:p w14:paraId="30AB7E2B">
            <w:pPr>
              <w:pStyle w:val="18"/>
              <w:widowControl/>
              <w:numPr>
                <w:ilvl w:val="0"/>
                <w:numId w:val="0"/>
              </w:numPr>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自动将详细的入库信息精准推送至医院信息管理系统（HIS），药库药师不需要手工录入库单，完成药品自动入库。</w:t>
            </w:r>
          </w:p>
        </w:tc>
        <w:tc>
          <w:tcPr>
            <w:tcW w:w="775" w:type="dxa"/>
            <w:vMerge w:val="continue"/>
            <w:tcBorders>
              <w:left w:val="single" w:color="auto" w:sz="4" w:space="0"/>
              <w:bottom w:val="single" w:color="auto" w:sz="4" w:space="0"/>
              <w:right w:val="single" w:color="auto" w:sz="4" w:space="0"/>
            </w:tcBorders>
            <w:noWrap w:val="0"/>
            <w:vAlign w:val="top"/>
          </w:tcPr>
          <w:p w14:paraId="283EAB3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18F4F66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06D3431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1353C5E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7585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4E4E043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tcBorders>
              <w:left w:val="single" w:color="auto" w:sz="4" w:space="0"/>
              <w:right w:val="single" w:color="auto" w:sz="4" w:space="0"/>
            </w:tcBorders>
            <w:noWrap w:val="0"/>
            <w:vAlign w:val="center"/>
          </w:tcPr>
          <w:p w14:paraId="276162F4">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收货确认</w:t>
            </w:r>
          </w:p>
        </w:tc>
        <w:tc>
          <w:tcPr>
            <w:tcW w:w="4190" w:type="dxa"/>
            <w:tcBorders>
              <w:top w:val="single" w:color="auto" w:sz="4" w:space="0"/>
              <w:left w:val="single" w:color="auto" w:sz="4" w:space="0"/>
              <w:bottom w:val="single" w:color="auto" w:sz="4" w:space="0"/>
              <w:right w:val="single" w:color="auto" w:sz="4" w:space="0"/>
            </w:tcBorders>
            <w:noWrap w:val="0"/>
            <w:vAlign w:val="top"/>
          </w:tcPr>
          <w:p w14:paraId="4EC71038">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根据药品的发货信息，药品确认收货工作后，进行收货数据省招采平台自动回传。</w:t>
            </w:r>
          </w:p>
        </w:tc>
        <w:tc>
          <w:tcPr>
            <w:tcW w:w="775" w:type="dxa"/>
            <w:tcBorders>
              <w:top w:val="single" w:color="auto" w:sz="4" w:space="0"/>
              <w:left w:val="single" w:color="auto" w:sz="4" w:space="0"/>
              <w:bottom w:val="single" w:color="auto" w:sz="4" w:space="0"/>
              <w:right w:val="single" w:color="auto" w:sz="4" w:space="0"/>
            </w:tcBorders>
            <w:noWrap w:val="0"/>
            <w:vAlign w:val="top"/>
          </w:tcPr>
          <w:p w14:paraId="3CC4865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55C9329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3652562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0EDAA94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5104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46" w:type="dxa"/>
            <w:vMerge w:val="continue"/>
            <w:tcBorders>
              <w:left w:val="single" w:color="auto" w:sz="4" w:space="0"/>
              <w:right w:val="single" w:color="auto" w:sz="4" w:space="0"/>
            </w:tcBorders>
            <w:noWrap w:val="0"/>
            <w:vAlign w:val="center"/>
          </w:tcPr>
          <w:p w14:paraId="6FA59E9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restart"/>
            <w:tcBorders>
              <w:left w:val="single" w:color="auto" w:sz="4" w:space="0"/>
              <w:right w:val="single" w:color="auto" w:sz="4" w:space="0"/>
            </w:tcBorders>
            <w:noWrap w:val="0"/>
            <w:vAlign w:val="center"/>
          </w:tcPr>
          <w:p w14:paraId="7C517956">
            <w:pPr>
              <w:pStyle w:val="18"/>
              <w:widowControl/>
              <w:numPr>
                <w:ilvl w:val="0"/>
                <w:numId w:val="0"/>
              </w:numPr>
              <w:kinsoku w:val="0"/>
              <w:overflowPunct w:val="0"/>
              <w:spacing w:line="400" w:lineRule="exact"/>
              <w:jc w:val="center"/>
              <w:rPr>
                <w:rFonts w:hint="default"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追溯信息</w:t>
            </w:r>
          </w:p>
        </w:tc>
        <w:tc>
          <w:tcPr>
            <w:tcW w:w="4190" w:type="dxa"/>
            <w:tcBorders>
              <w:top w:val="single" w:color="auto" w:sz="4" w:space="0"/>
              <w:left w:val="single" w:color="auto" w:sz="4" w:space="0"/>
              <w:bottom w:val="single" w:color="auto" w:sz="4" w:space="0"/>
              <w:right w:val="single" w:color="auto" w:sz="4" w:space="0"/>
            </w:tcBorders>
            <w:noWrap w:val="0"/>
            <w:vAlign w:val="top"/>
          </w:tcPr>
          <w:p w14:paraId="1C7BCB11">
            <w:pPr>
              <w:pStyle w:val="18"/>
              <w:widowControl/>
              <w:numPr>
                <w:ilvl w:val="0"/>
                <w:numId w:val="0"/>
              </w:numPr>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系统应支持扫描药品外包装获取药品追溯码信息。</w:t>
            </w:r>
          </w:p>
        </w:tc>
        <w:tc>
          <w:tcPr>
            <w:tcW w:w="775" w:type="dxa"/>
            <w:vMerge w:val="restart"/>
            <w:tcBorders>
              <w:top w:val="single" w:color="auto" w:sz="4" w:space="0"/>
              <w:left w:val="single" w:color="auto" w:sz="4" w:space="0"/>
              <w:right w:val="single" w:color="auto" w:sz="4" w:space="0"/>
            </w:tcBorders>
            <w:noWrap w:val="0"/>
            <w:vAlign w:val="top"/>
          </w:tcPr>
          <w:p w14:paraId="27DE0F3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vMerge w:val="restart"/>
            <w:tcBorders>
              <w:left w:val="single" w:color="auto" w:sz="4" w:space="0"/>
              <w:right w:val="single" w:color="auto" w:sz="4" w:space="0"/>
            </w:tcBorders>
            <w:noWrap w:val="0"/>
            <w:vAlign w:val="center"/>
          </w:tcPr>
          <w:p w14:paraId="6633EBC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vMerge w:val="restart"/>
            <w:tcBorders>
              <w:left w:val="single" w:color="auto" w:sz="4" w:space="0"/>
              <w:right w:val="single" w:color="auto" w:sz="4" w:space="0"/>
            </w:tcBorders>
            <w:noWrap w:val="0"/>
            <w:vAlign w:val="center"/>
          </w:tcPr>
          <w:p w14:paraId="6B1429A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vMerge w:val="restart"/>
            <w:tcBorders>
              <w:left w:val="single" w:color="auto" w:sz="4" w:space="0"/>
              <w:right w:val="single" w:color="auto" w:sz="4" w:space="0"/>
            </w:tcBorders>
            <w:noWrap w:val="0"/>
            <w:vAlign w:val="top"/>
          </w:tcPr>
          <w:p w14:paraId="116DFAA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37B0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46" w:type="dxa"/>
            <w:vMerge w:val="continue"/>
            <w:tcBorders>
              <w:left w:val="single" w:color="auto" w:sz="4" w:space="0"/>
              <w:right w:val="single" w:color="auto" w:sz="4" w:space="0"/>
            </w:tcBorders>
            <w:noWrap w:val="0"/>
            <w:vAlign w:val="center"/>
          </w:tcPr>
          <w:p w14:paraId="6FFFF8F4">
            <w:pPr>
              <w:pStyle w:val="18"/>
              <w:widowControl/>
              <w:kinsoku w:val="0"/>
              <w:overflowPunct w:val="0"/>
              <w:spacing w:line="400" w:lineRule="exact"/>
              <w:jc w:val="both"/>
            </w:pPr>
          </w:p>
        </w:tc>
        <w:tc>
          <w:tcPr>
            <w:tcW w:w="1157" w:type="dxa"/>
            <w:vMerge w:val="continue"/>
            <w:tcBorders>
              <w:left w:val="single" w:color="auto" w:sz="4" w:space="0"/>
              <w:right w:val="single" w:color="auto" w:sz="4" w:space="0"/>
            </w:tcBorders>
            <w:noWrap w:val="0"/>
            <w:vAlign w:val="center"/>
          </w:tcPr>
          <w:p w14:paraId="4F3F13CF">
            <w:pPr>
              <w:pStyle w:val="18"/>
              <w:widowControl/>
              <w:kinsoku w:val="0"/>
              <w:overflowPunct w:val="0"/>
              <w:spacing w:line="400" w:lineRule="exact"/>
              <w:jc w:val="both"/>
            </w:pPr>
          </w:p>
        </w:tc>
        <w:tc>
          <w:tcPr>
            <w:tcW w:w="4190" w:type="dxa"/>
            <w:tcBorders>
              <w:top w:val="single" w:color="auto" w:sz="4" w:space="0"/>
              <w:left w:val="single" w:color="auto" w:sz="4" w:space="0"/>
              <w:bottom w:val="single" w:color="auto" w:sz="4" w:space="0"/>
              <w:right w:val="single" w:color="auto" w:sz="4" w:space="0"/>
            </w:tcBorders>
            <w:noWrap w:val="0"/>
            <w:vAlign w:val="top"/>
          </w:tcPr>
          <w:p w14:paraId="17415FA2">
            <w:pPr>
              <w:pStyle w:val="18"/>
              <w:widowControl/>
              <w:numPr>
                <w:ilvl w:val="0"/>
                <w:numId w:val="0"/>
              </w:numPr>
              <w:kinsoku w:val="0"/>
              <w:overflowPunct w:val="0"/>
              <w:spacing w:line="400" w:lineRule="exact"/>
              <w:jc w:val="both"/>
              <w:rPr>
                <w:rFonts w:hint="eastAsia" w:ascii="仿宋" w:hAnsi="仿宋" w:eastAsia="仿宋" w:cstheme="minorBidi"/>
                <w:bCs/>
                <w:kern w:val="2"/>
                <w:sz w:val="21"/>
                <w:szCs w:val="21"/>
                <w:lang w:val="en-US" w:eastAsia="zh-CN" w:bidi="ar-SA"/>
              </w:rPr>
            </w:pPr>
            <w:bookmarkStart w:id="1" w:name="OLE_LINK4"/>
            <w:r>
              <w:rPr>
                <w:rFonts w:hint="eastAsia" w:ascii="仿宋" w:hAnsi="仿宋" w:eastAsia="仿宋" w:cstheme="minorBidi"/>
                <w:bCs/>
                <w:kern w:val="2"/>
                <w:sz w:val="21"/>
                <w:szCs w:val="21"/>
                <w:lang w:val="en-US" w:eastAsia="zh-CN" w:bidi="ar-SA"/>
              </w:rPr>
              <w:t>系统应支持直接扫描药品本身获取药品追溯码信息</w:t>
            </w:r>
            <w:bookmarkEnd w:id="1"/>
            <w:r>
              <w:rPr>
                <w:rFonts w:hint="eastAsia" w:ascii="仿宋" w:hAnsi="仿宋" w:eastAsia="仿宋" w:cstheme="minorBidi"/>
                <w:bCs/>
                <w:kern w:val="2"/>
                <w:sz w:val="21"/>
                <w:szCs w:val="21"/>
                <w:lang w:val="en-US" w:eastAsia="zh-CN" w:bidi="ar-SA"/>
              </w:rPr>
              <w:t>。</w:t>
            </w:r>
          </w:p>
        </w:tc>
        <w:tc>
          <w:tcPr>
            <w:tcW w:w="775" w:type="dxa"/>
            <w:vMerge w:val="continue"/>
            <w:tcBorders>
              <w:left w:val="single" w:color="auto" w:sz="4" w:space="0"/>
              <w:right w:val="single" w:color="auto" w:sz="4" w:space="0"/>
            </w:tcBorders>
            <w:noWrap w:val="0"/>
            <w:vAlign w:val="top"/>
          </w:tcPr>
          <w:p w14:paraId="1F3AC506">
            <w:pPr>
              <w:pStyle w:val="18"/>
              <w:widowControl/>
              <w:kinsoku w:val="0"/>
              <w:overflowPunct w:val="0"/>
              <w:spacing w:line="400" w:lineRule="exact"/>
              <w:jc w:val="both"/>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53C9DFDC">
            <w:pPr>
              <w:pStyle w:val="18"/>
              <w:widowControl/>
              <w:kinsoku w:val="0"/>
              <w:overflowPunct w:val="0"/>
              <w:spacing w:line="400" w:lineRule="exact"/>
              <w:jc w:val="both"/>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47DBA7C0">
            <w:pPr>
              <w:pStyle w:val="18"/>
              <w:widowControl/>
              <w:kinsoku w:val="0"/>
              <w:overflowPunct w:val="0"/>
              <w:spacing w:line="400" w:lineRule="exact"/>
              <w:jc w:val="both"/>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343D4666">
            <w:pPr>
              <w:pStyle w:val="18"/>
              <w:widowControl/>
              <w:kinsoku w:val="0"/>
              <w:overflowPunct w:val="0"/>
              <w:spacing w:line="400" w:lineRule="exact"/>
              <w:jc w:val="both"/>
              <w:rPr>
                <w:rFonts w:hint="eastAsia" w:ascii="仿宋" w:hAnsi="仿宋" w:eastAsia="仿宋" w:cstheme="minorBidi"/>
                <w:bCs/>
                <w:kern w:val="2"/>
                <w:sz w:val="21"/>
                <w:szCs w:val="21"/>
                <w:lang w:val="en-US" w:eastAsia="zh-CN" w:bidi="ar-SA"/>
              </w:rPr>
            </w:pPr>
          </w:p>
        </w:tc>
      </w:tr>
      <w:tr w14:paraId="4A02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6" w:type="dxa"/>
            <w:vMerge w:val="continue"/>
            <w:tcBorders>
              <w:left w:val="single" w:color="auto" w:sz="4" w:space="0"/>
              <w:right w:val="single" w:color="auto" w:sz="4" w:space="0"/>
            </w:tcBorders>
            <w:noWrap w:val="0"/>
            <w:vAlign w:val="center"/>
          </w:tcPr>
          <w:p w14:paraId="116050EE">
            <w:pPr>
              <w:pStyle w:val="18"/>
              <w:widowControl/>
              <w:kinsoku w:val="0"/>
              <w:overflowPunct w:val="0"/>
              <w:spacing w:line="400" w:lineRule="exact"/>
              <w:jc w:val="both"/>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68DA9375">
            <w:pPr>
              <w:pStyle w:val="18"/>
              <w:widowControl/>
              <w:kinsoku w:val="0"/>
              <w:overflowPunct w:val="0"/>
              <w:spacing w:line="400" w:lineRule="exact"/>
              <w:jc w:val="both"/>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top"/>
          </w:tcPr>
          <w:p w14:paraId="3160806F">
            <w:pPr>
              <w:pStyle w:val="18"/>
              <w:widowControl/>
              <w:numPr>
                <w:ilvl w:val="0"/>
                <w:numId w:val="0"/>
              </w:numPr>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系统应支持手持PDA设备扫码一键快速入库</w:t>
            </w:r>
          </w:p>
        </w:tc>
        <w:tc>
          <w:tcPr>
            <w:tcW w:w="775" w:type="dxa"/>
            <w:vMerge w:val="continue"/>
            <w:tcBorders>
              <w:left w:val="single" w:color="auto" w:sz="4" w:space="0"/>
              <w:right w:val="single" w:color="auto" w:sz="4" w:space="0"/>
            </w:tcBorders>
            <w:noWrap w:val="0"/>
            <w:vAlign w:val="top"/>
          </w:tcPr>
          <w:p w14:paraId="7C23103E">
            <w:pPr>
              <w:pStyle w:val="18"/>
              <w:widowControl/>
              <w:kinsoku w:val="0"/>
              <w:overflowPunct w:val="0"/>
              <w:spacing w:line="400" w:lineRule="exact"/>
              <w:jc w:val="both"/>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76894580">
            <w:pPr>
              <w:pStyle w:val="18"/>
              <w:widowControl/>
              <w:kinsoku w:val="0"/>
              <w:overflowPunct w:val="0"/>
              <w:spacing w:line="400" w:lineRule="exact"/>
              <w:jc w:val="both"/>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6A15DD83">
            <w:pPr>
              <w:pStyle w:val="18"/>
              <w:widowControl/>
              <w:kinsoku w:val="0"/>
              <w:overflowPunct w:val="0"/>
              <w:spacing w:line="400" w:lineRule="exact"/>
              <w:jc w:val="both"/>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51321736">
            <w:pPr>
              <w:pStyle w:val="18"/>
              <w:widowControl/>
              <w:kinsoku w:val="0"/>
              <w:overflowPunct w:val="0"/>
              <w:spacing w:line="400" w:lineRule="exact"/>
              <w:jc w:val="both"/>
              <w:rPr>
                <w:rFonts w:hint="eastAsia" w:ascii="仿宋" w:hAnsi="仿宋" w:eastAsia="仿宋" w:cstheme="minorBidi"/>
                <w:bCs/>
                <w:kern w:val="2"/>
                <w:sz w:val="21"/>
                <w:szCs w:val="21"/>
                <w:lang w:val="en-US" w:eastAsia="zh-CN" w:bidi="ar-SA"/>
              </w:rPr>
            </w:pPr>
          </w:p>
        </w:tc>
      </w:tr>
      <w:tr w14:paraId="428A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46" w:type="dxa"/>
            <w:vMerge w:val="continue"/>
            <w:tcBorders>
              <w:left w:val="single" w:color="auto" w:sz="4" w:space="0"/>
              <w:right w:val="single" w:color="auto" w:sz="4" w:space="0"/>
            </w:tcBorders>
            <w:noWrap w:val="0"/>
            <w:vAlign w:val="center"/>
          </w:tcPr>
          <w:p w14:paraId="0FAD852E">
            <w:pPr>
              <w:pStyle w:val="18"/>
              <w:widowControl/>
              <w:kinsoku w:val="0"/>
              <w:overflowPunct w:val="0"/>
              <w:spacing w:line="400" w:lineRule="exact"/>
              <w:jc w:val="both"/>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6ACBE044">
            <w:pPr>
              <w:pStyle w:val="18"/>
              <w:widowControl/>
              <w:kinsoku w:val="0"/>
              <w:overflowPunct w:val="0"/>
              <w:spacing w:line="400" w:lineRule="exact"/>
              <w:jc w:val="both"/>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top"/>
          </w:tcPr>
          <w:p w14:paraId="68ED2503">
            <w:pPr>
              <w:pStyle w:val="18"/>
              <w:widowControl/>
              <w:numPr>
                <w:ilvl w:val="0"/>
                <w:numId w:val="0"/>
              </w:numPr>
              <w:kinsoku w:val="0"/>
              <w:overflowPunct w:val="0"/>
              <w:spacing w:line="400" w:lineRule="exact"/>
              <w:jc w:val="both"/>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系统应支持PC端配合高拍仪进行采集操作。</w:t>
            </w:r>
          </w:p>
        </w:tc>
        <w:tc>
          <w:tcPr>
            <w:tcW w:w="775" w:type="dxa"/>
            <w:vMerge w:val="continue"/>
            <w:tcBorders>
              <w:left w:val="single" w:color="auto" w:sz="4" w:space="0"/>
              <w:bottom w:val="single" w:color="auto" w:sz="4" w:space="0"/>
              <w:right w:val="single" w:color="auto" w:sz="4" w:space="0"/>
            </w:tcBorders>
            <w:noWrap w:val="0"/>
            <w:vAlign w:val="top"/>
          </w:tcPr>
          <w:p w14:paraId="2AD3A388">
            <w:pPr>
              <w:pStyle w:val="18"/>
              <w:widowControl/>
              <w:kinsoku w:val="0"/>
              <w:overflowPunct w:val="0"/>
              <w:spacing w:line="400" w:lineRule="exact"/>
              <w:jc w:val="both"/>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683AD600">
            <w:pPr>
              <w:pStyle w:val="18"/>
              <w:widowControl/>
              <w:kinsoku w:val="0"/>
              <w:overflowPunct w:val="0"/>
              <w:spacing w:line="400" w:lineRule="exact"/>
              <w:jc w:val="both"/>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64BB1654">
            <w:pPr>
              <w:pStyle w:val="18"/>
              <w:widowControl/>
              <w:kinsoku w:val="0"/>
              <w:overflowPunct w:val="0"/>
              <w:spacing w:line="400" w:lineRule="exact"/>
              <w:jc w:val="both"/>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1B32BB16">
            <w:pPr>
              <w:pStyle w:val="18"/>
              <w:widowControl/>
              <w:kinsoku w:val="0"/>
              <w:overflowPunct w:val="0"/>
              <w:spacing w:line="400" w:lineRule="exact"/>
              <w:jc w:val="both"/>
              <w:rPr>
                <w:rFonts w:hint="eastAsia" w:ascii="仿宋" w:hAnsi="仿宋" w:eastAsia="仿宋" w:cstheme="minorBidi"/>
                <w:bCs/>
                <w:kern w:val="2"/>
                <w:sz w:val="21"/>
                <w:szCs w:val="21"/>
                <w:lang w:val="en-US" w:eastAsia="zh-CN" w:bidi="ar-SA"/>
              </w:rPr>
            </w:pPr>
          </w:p>
        </w:tc>
      </w:tr>
      <w:tr w14:paraId="5470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3AF4EBD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tcBorders>
              <w:left w:val="single" w:color="auto" w:sz="4" w:space="0"/>
              <w:right w:val="single" w:color="auto" w:sz="4" w:space="0"/>
            </w:tcBorders>
            <w:noWrap w:val="0"/>
            <w:vAlign w:val="center"/>
          </w:tcPr>
          <w:p w14:paraId="3863F7F9">
            <w:pPr>
              <w:spacing w:line="360" w:lineRule="auto"/>
              <w:rPr>
                <w:rFonts w:hint="eastAsia" w:ascii="仿宋" w:hAnsi="仿宋" w:eastAsia="仿宋" w:cstheme="minorBidi"/>
                <w:bCs/>
                <w:kern w:val="2"/>
                <w:sz w:val="21"/>
                <w:szCs w:val="21"/>
                <w:lang w:val="en-US" w:eastAsia="zh-CN" w:bidi="ar-SA"/>
              </w:rPr>
            </w:pPr>
            <w:bookmarkStart w:id="2" w:name="_Toc193794680"/>
            <w:r>
              <w:rPr>
                <w:rFonts w:hint="eastAsia" w:ascii="仿宋" w:hAnsi="仿宋" w:eastAsia="仿宋" w:cstheme="minorBidi"/>
                <w:bCs/>
                <w:kern w:val="2"/>
                <w:sz w:val="21"/>
                <w:szCs w:val="21"/>
                <w:lang w:val="en-US" w:eastAsia="zh-CN" w:bidi="ar-SA"/>
              </w:rPr>
              <w:t>追溯码转换</w:t>
            </w:r>
            <w:bookmarkEnd w:id="2"/>
          </w:p>
        </w:tc>
        <w:tc>
          <w:tcPr>
            <w:tcW w:w="4190" w:type="dxa"/>
            <w:tcBorders>
              <w:top w:val="single" w:color="auto" w:sz="4" w:space="0"/>
              <w:left w:val="single" w:color="auto" w:sz="4" w:space="0"/>
              <w:bottom w:val="single" w:color="auto" w:sz="4" w:space="0"/>
              <w:right w:val="single" w:color="auto" w:sz="4" w:space="0"/>
            </w:tcBorders>
            <w:noWrap w:val="0"/>
            <w:vAlign w:val="top"/>
          </w:tcPr>
          <w:p w14:paraId="76DA0692">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系统应具备创新性功能，支持无需拆箱操作，仅需扫描大箱码、中包装码或单盒药品追溯码，即可迅速获取每一盒药品的追溯码信息。</w:t>
            </w:r>
          </w:p>
        </w:tc>
        <w:tc>
          <w:tcPr>
            <w:tcW w:w="775" w:type="dxa"/>
            <w:tcBorders>
              <w:top w:val="single" w:color="auto" w:sz="4" w:space="0"/>
              <w:left w:val="single" w:color="auto" w:sz="4" w:space="0"/>
              <w:bottom w:val="single" w:color="auto" w:sz="4" w:space="0"/>
              <w:right w:val="single" w:color="auto" w:sz="4" w:space="0"/>
            </w:tcBorders>
            <w:noWrap w:val="0"/>
            <w:vAlign w:val="top"/>
          </w:tcPr>
          <w:p w14:paraId="2EF8C1C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1102952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16EDDB1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01DB815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6221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46" w:type="dxa"/>
            <w:vMerge w:val="continue"/>
            <w:tcBorders>
              <w:left w:val="single" w:color="auto" w:sz="4" w:space="0"/>
              <w:right w:val="single" w:color="auto" w:sz="4" w:space="0"/>
            </w:tcBorders>
            <w:noWrap w:val="0"/>
            <w:vAlign w:val="center"/>
          </w:tcPr>
          <w:p w14:paraId="3BEE7EF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restart"/>
            <w:tcBorders>
              <w:left w:val="single" w:color="auto" w:sz="4" w:space="0"/>
              <w:right w:val="single" w:color="auto" w:sz="4" w:space="0"/>
            </w:tcBorders>
            <w:noWrap w:val="0"/>
            <w:vAlign w:val="center"/>
          </w:tcPr>
          <w:p w14:paraId="4ABC6CAD">
            <w:pPr>
              <w:spacing w:line="360" w:lineRule="auto"/>
              <w:rPr>
                <w:rFonts w:hint="eastAsia" w:ascii="仿宋" w:hAnsi="仿宋" w:eastAsia="仿宋" w:cstheme="minorBidi"/>
                <w:bCs/>
                <w:kern w:val="2"/>
                <w:sz w:val="21"/>
                <w:szCs w:val="21"/>
                <w:lang w:val="en-US" w:eastAsia="zh-CN" w:bidi="ar-SA"/>
              </w:rPr>
            </w:pPr>
            <w:bookmarkStart w:id="3" w:name="_Toc193794681"/>
            <w:r>
              <w:rPr>
                <w:rFonts w:hint="eastAsia" w:ascii="仿宋" w:hAnsi="仿宋" w:eastAsia="仿宋" w:cstheme="minorBidi"/>
                <w:bCs/>
                <w:kern w:val="2"/>
                <w:sz w:val="21"/>
                <w:szCs w:val="21"/>
                <w:lang w:val="en-US" w:eastAsia="zh-CN" w:bidi="ar-SA"/>
              </w:rPr>
              <w:t>入库信息核验</w:t>
            </w:r>
            <w:bookmarkEnd w:id="3"/>
          </w:p>
        </w:tc>
        <w:tc>
          <w:tcPr>
            <w:tcW w:w="4190" w:type="dxa"/>
            <w:tcBorders>
              <w:top w:val="single" w:color="auto" w:sz="4" w:space="0"/>
              <w:left w:val="single" w:color="auto" w:sz="4" w:space="0"/>
              <w:bottom w:val="single" w:color="auto" w:sz="4" w:space="0"/>
              <w:right w:val="single" w:color="auto" w:sz="4" w:space="0"/>
            </w:tcBorders>
            <w:noWrap w:val="0"/>
            <w:vAlign w:val="top"/>
          </w:tcPr>
          <w:p w14:paraId="45965434">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系统应配备智能化的追溯码匹配核对功能，能够自动将采集到的追溯码信息与入库单数据进行精准比对。</w:t>
            </w:r>
          </w:p>
        </w:tc>
        <w:tc>
          <w:tcPr>
            <w:tcW w:w="775" w:type="dxa"/>
            <w:vMerge w:val="restart"/>
            <w:tcBorders>
              <w:top w:val="single" w:color="auto" w:sz="4" w:space="0"/>
              <w:left w:val="single" w:color="auto" w:sz="4" w:space="0"/>
              <w:right w:val="single" w:color="auto" w:sz="4" w:space="0"/>
            </w:tcBorders>
            <w:noWrap w:val="0"/>
            <w:vAlign w:val="top"/>
          </w:tcPr>
          <w:p w14:paraId="153D740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vMerge w:val="restart"/>
            <w:tcBorders>
              <w:left w:val="single" w:color="auto" w:sz="4" w:space="0"/>
              <w:right w:val="single" w:color="auto" w:sz="4" w:space="0"/>
            </w:tcBorders>
            <w:noWrap w:val="0"/>
            <w:vAlign w:val="center"/>
          </w:tcPr>
          <w:p w14:paraId="6C27022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vMerge w:val="restart"/>
            <w:tcBorders>
              <w:left w:val="single" w:color="auto" w:sz="4" w:space="0"/>
              <w:right w:val="single" w:color="auto" w:sz="4" w:space="0"/>
            </w:tcBorders>
            <w:noWrap w:val="0"/>
            <w:vAlign w:val="center"/>
          </w:tcPr>
          <w:p w14:paraId="6320894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vMerge w:val="restart"/>
            <w:tcBorders>
              <w:left w:val="single" w:color="auto" w:sz="4" w:space="0"/>
              <w:right w:val="single" w:color="auto" w:sz="4" w:space="0"/>
            </w:tcBorders>
            <w:noWrap w:val="0"/>
            <w:vAlign w:val="top"/>
          </w:tcPr>
          <w:p w14:paraId="4B0AF9F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4FE7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46" w:type="dxa"/>
            <w:vMerge w:val="continue"/>
            <w:tcBorders>
              <w:left w:val="single" w:color="auto" w:sz="4" w:space="0"/>
              <w:right w:val="single" w:color="auto" w:sz="4" w:space="0"/>
            </w:tcBorders>
            <w:noWrap w:val="0"/>
            <w:vAlign w:val="center"/>
          </w:tcPr>
          <w:p w14:paraId="43E5AEB6">
            <w:pPr>
              <w:spacing w:line="360" w:lineRule="auto"/>
            </w:pPr>
          </w:p>
        </w:tc>
        <w:tc>
          <w:tcPr>
            <w:tcW w:w="1157" w:type="dxa"/>
            <w:vMerge w:val="continue"/>
            <w:tcBorders>
              <w:left w:val="single" w:color="auto" w:sz="4" w:space="0"/>
              <w:right w:val="single" w:color="auto" w:sz="4" w:space="0"/>
            </w:tcBorders>
            <w:noWrap w:val="0"/>
            <w:vAlign w:val="center"/>
          </w:tcPr>
          <w:p w14:paraId="029582F0">
            <w:pPr>
              <w:spacing w:line="360" w:lineRule="auto"/>
            </w:pPr>
          </w:p>
        </w:tc>
        <w:tc>
          <w:tcPr>
            <w:tcW w:w="4190" w:type="dxa"/>
            <w:tcBorders>
              <w:top w:val="single" w:color="auto" w:sz="4" w:space="0"/>
              <w:left w:val="single" w:color="auto" w:sz="4" w:space="0"/>
              <w:bottom w:val="single" w:color="auto" w:sz="4" w:space="0"/>
              <w:right w:val="single" w:color="auto" w:sz="4" w:space="0"/>
            </w:tcBorders>
            <w:noWrap w:val="0"/>
            <w:vAlign w:val="top"/>
          </w:tcPr>
          <w:p w14:paraId="13257784">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借助先进的智能算法，系统应可快速识别并自动标记出不一致项，确保数据的准确性与完整性，大幅提高核对效率，显著减轻人工核对的工作负担，有效提升药品入库管理的整体效能，为药品质量安全提供坚实保障。</w:t>
            </w:r>
          </w:p>
        </w:tc>
        <w:tc>
          <w:tcPr>
            <w:tcW w:w="775" w:type="dxa"/>
            <w:vMerge w:val="continue"/>
            <w:tcBorders>
              <w:left w:val="single" w:color="auto" w:sz="4" w:space="0"/>
              <w:bottom w:val="single" w:color="auto" w:sz="4" w:space="0"/>
              <w:right w:val="single" w:color="auto" w:sz="4" w:space="0"/>
            </w:tcBorders>
            <w:noWrap w:val="0"/>
            <w:vAlign w:val="top"/>
          </w:tcPr>
          <w:p w14:paraId="5AF52012">
            <w:pPr>
              <w:spacing w:line="360" w:lineRule="auto"/>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16CC071E">
            <w:pPr>
              <w:spacing w:line="360" w:lineRule="auto"/>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1EE37647">
            <w:pPr>
              <w:spacing w:line="360" w:lineRule="auto"/>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3DB62951">
            <w:pPr>
              <w:spacing w:line="360" w:lineRule="auto"/>
              <w:rPr>
                <w:rFonts w:hint="eastAsia" w:ascii="仿宋" w:hAnsi="仿宋" w:eastAsia="仿宋" w:cstheme="minorBidi"/>
                <w:bCs/>
                <w:kern w:val="2"/>
                <w:sz w:val="21"/>
                <w:szCs w:val="21"/>
                <w:lang w:val="en-US" w:eastAsia="zh-CN" w:bidi="ar-SA"/>
              </w:rPr>
            </w:pPr>
          </w:p>
        </w:tc>
      </w:tr>
      <w:tr w14:paraId="7747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46" w:type="dxa"/>
            <w:vMerge w:val="continue"/>
            <w:tcBorders>
              <w:left w:val="single" w:color="auto" w:sz="4" w:space="0"/>
              <w:right w:val="single" w:color="auto" w:sz="4" w:space="0"/>
            </w:tcBorders>
            <w:noWrap w:val="0"/>
            <w:vAlign w:val="center"/>
          </w:tcPr>
          <w:p w14:paraId="12D0966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restart"/>
            <w:tcBorders>
              <w:left w:val="single" w:color="auto" w:sz="4" w:space="0"/>
              <w:right w:val="single" w:color="auto" w:sz="4" w:space="0"/>
            </w:tcBorders>
            <w:noWrap w:val="0"/>
            <w:vAlign w:val="center"/>
          </w:tcPr>
          <w:p w14:paraId="19F9C011">
            <w:pPr>
              <w:spacing w:line="360" w:lineRule="auto"/>
              <w:rPr>
                <w:rFonts w:hint="eastAsia" w:ascii="仿宋" w:hAnsi="仿宋" w:eastAsia="仿宋" w:cstheme="minorBidi"/>
                <w:bCs/>
                <w:kern w:val="2"/>
                <w:sz w:val="21"/>
                <w:szCs w:val="21"/>
                <w:lang w:val="en-US" w:eastAsia="zh-CN" w:bidi="ar-SA"/>
              </w:rPr>
            </w:pPr>
            <w:bookmarkStart w:id="4" w:name="_Toc193794682"/>
            <w:r>
              <w:rPr>
                <w:rFonts w:hint="eastAsia" w:ascii="仿宋" w:hAnsi="仿宋" w:eastAsia="仿宋" w:cstheme="minorBidi"/>
                <w:bCs/>
                <w:kern w:val="2"/>
                <w:sz w:val="21"/>
                <w:szCs w:val="21"/>
                <w:lang w:val="en-US" w:eastAsia="zh-CN" w:bidi="ar-SA"/>
              </w:rPr>
              <w:t>智能预警提示</w:t>
            </w:r>
            <w:bookmarkEnd w:id="4"/>
          </w:p>
        </w:tc>
        <w:tc>
          <w:tcPr>
            <w:tcW w:w="4190" w:type="dxa"/>
            <w:tcBorders>
              <w:top w:val="single" w:color="auto" w:sz="4" w:space="0"/>
              <w:left w:val="single" w:color="auto" w:sz="4" w:space="0"/>
              <w:bottom w:val="single" w:color="auto" w:sz="4" w:space="0"/>
              <w:right w:val="single" w:color="auto" w:sz="4" w:space="0"/>
            </w:tcBorders>
            <w:noWrap w:val="0"/>
            <w:vAlign w:val="center"/>
          </w:tcPr>
          <w:p w14:paraId="78967711">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系统应具备强大的智能预警功能，在药品入库环节实时监测药品的关键信息，如有效期、批准文号等。</w:t>
            </w:r>
          </w:p>
        </w:tc>
        <w:tc>
          <w:tcPr>
            <w:tcW w:w="775" w:type="dxa"/>
            <w:vMerge w:val="restart"/>
            <w:tcBorders>
              <w:top w:val="single" w:color="auto" w:sz="4" w:space="0"/>
              <w:left w:val="single" w:color="auto" w:sz="4" w:space="0"/>
              <w:right w:val="single" w:color="auto" w:sz="4" w:space="0"/>
            </w:tcBorders>
            <w:noWrap w:val="0"/>
            <w:vAlign w:val="top"/>
          </w:tcPr>
          <w:p w14:paraId="7C81465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vMerge w:val="restart"/>
            <w:tcBorders>
              <w:left w:val="single" w:color="auto" w:sz="4" w:space="0"/>
              <w:right w:val="single" w:color="auto" w:sz="4" w:space="0"/>
            </w:tcBorders>
            <w:noWrap w:val="0"/>
            <w:vAlign w:val="center"/>
          </w:tcPr>
          <w:p w14:paraId="488420A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vMerge w:val="restart"/>
            <w:tcBorders>
              <w:left w:val="single" w:color="auto" w:sz="4" w:space="0"/>
              <w:right w:val="single" w:color="auto" w:sz="4" w:space="0"/>
            </w:tcBorders>
            <w:noWrap w:val="0"/>
            <w:vAlign w:val="center"/>
          </w:tcPr>
          <w:p w14:paraId="1B5BFAE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vMerge w:val="restart"/>
            <w:tcBorders>
              <w:left w:val="single" w:color="auto" w:sz="4" w:space="0"/>
              <w:right w:val="single" w:color="auto" w:sz="4" w:space="0"/>
            </w:tcBorders>
            <w:noWrap w:val="0"/>
            <w:vAlign w:val="top"/>
          </w:tcPr>
          <w:p w14:paraId="4433052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30F8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46" w:type="dxa"/>
            <w:vMerge w:val="continue"/>
            <w:tcBorders>
              <w:left w:val="single" w:color="auto" w:sz="4" w:space="0"/>
              <w:right w:val="single" w:color="auto" w:sz="4" w:space="0"/>
            </w:tcBorders>
            <w:noWrap w:val="0"/>
            <w:vAlign w:val="center"/>
          </w:tcPr>
          <w:p w14:paraId="37F72A64">
            <w:pPr>
              <w:spacing w:line="360" w:lineRule="auto"/>
            </w:pPr>
          </w:p>
        </w:tc>
        <w:tc>
          <w:tcPr>
            <w:tcW w:w="1157" w:type="dxa"/>
            <w:vMerge w:val="continue"/>
            <w:tcBorders>
              <w:left w:val="single" w:color="auto" w:sz="4" w:space="0"/>
              <w:right w:val="single" w:color="auto" w:sz="4" w:space="0"/>
            </w:tcBorders>
            <w:noWrap w:val="0"/>
            <w:vAlign w:val="center"/>
          </w:tcPr>
          <w:p w14:paraId="0023E16F">
            <w:pPr>
              <w:spacing w:line="360" w:lineRule="auto"/>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5CB90F0E">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系统应支持对过期药品进行预警提示，及时通知工作人员进行处理。</w:t>
            </w:r>
          </w:p>
        </w:tc>
        <w:tc>
          <w:tcPr>
            <w:tcW w:w="775" w:type="dxa"/>
            <w:vMerge w:val="continue"/>
            <w:tcBorders>
              <w:left w:val="single" w:color="auto" w:sz="4" w:space="0"/>
              <w:right w:val="single" w:color="auto" w:sz="4" w:space="0"/>
            </w:tcBorders>
            <w:noWrap w:val="0"/>
            <w:vAlign w:val="top"/>
          </w:tcPr>
          <w:p w14:paraId="7B1DFFC4">
            <w:pPr>
              <w:spacing w:line="360" w:lineRule="auto"/>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7E7DF0D4">
            <w:pPr>
              <w:spacing w:line="360" w:lineRule="auto"/>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286D9DC7">
            <w:pPr>
              <w:spacing w:line="360" w:lineRule="auto"/>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1CCBD098">
            <w:pPr>
              <w:spacing w:line="360" w:lineRule="auto"/>
              <w:rPr>
                <w:rFonts w:hint="eastAsia" w:ascii="仿宋" w:hAnsi="仿宋" w:eastAsia="仿宋" w:cstheme="minorBidi"/>
                <w:bCs/>
                <w:kern w:val="2"/>
                <w:sz w:val="21"/>
                <w:szCs w:val="21"/>
                <w:lang w:val="en-US" w:eastAsia="zh-CN" w:bidi="ar-SA"/>
              </w:rPr>
            </w:pPr>
          </w:p>
        </w:tc>
      </w:tr>
      <w:tr w14:paraId="674B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46" w:type="dxa"/>
            <w:vMerge w:val="continue"/>
            <w:tcBorders>
              <w:left w:val="single" w:color="auto" w:sz="4" w:space="0"/>
              <w:right w:val="single" w:color="auto" w:sz="4" w:space="0"/>
            </w:tcBorders>
            <w:noWrap w:val="0"/>
            <w:vAlign w:val="center"/>
          </w:tcPr>
          <w:p w14:paraId="195B4F6F">
            <w:pPr>
              <w:spacing w:line="360" w:lineRule="auto"/>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29671059">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3C7614DB">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系统应支持对采购价格变化药品进行预警，及时通知工作人员进行处理。</w:t>
            </w:r>
          </w:p>
        </w:tc>
        <w:tc>
          <w:tcPr>
            <w:tcW w:w="775" w:type="dxa"/>
            <w:vMerge w:val="continue"/>
            <w:tcBorders>
              <w:left w:val="single" w:color="auto" w:sz="4" w:space="0"/>
              <w:bottom w:val="single" w:color="auto" w:sz="4" w:space="0"/>
              <w:right w:val="single" w:color="auto" w:sz="4" w:space="0"/>
            </w:tcBorders>
            <w:noWrap w:val="0"/>
            <w:vAlign w:val="top"/>
          </w:tcPr>
          <w:p w14:paraId="78D5F823">
            <w:pPr>
              <w:spacing w:line="360" w:lineRule="auto"/>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471C5E9D">
            <w:pPr>
              <w:spacing w:line="360" w:lineRule="auto"/>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38E373F0">
            <w:pPr>
              <w:spacing w:line="360" w:lineRule="auto"/>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0140B95E">
            <w:pPr>
              <w:spacing w:line="360" w:lineRule="auto"/>
              <w:rPr>
                <w:rFonts w:hint="eastAsia" w:ascii="仿宋" w:hAnsi="仿宋" w:eastAsia="仿宋" w:cstheme="minorBidi"/>
                <w:bCs/>
                <w:kern w:val="2"/>
                <w:sz w:val="21"/>
                <w:szCs w:val="21"/>
                <w:lang w:val="en-US" w:eastAsia="zh-CN" w:bidi="ar-SA"/>
              </w:rPr>
            </w:pPr>
          </w:p>
        </w:tc>
      </w:tr>
      <w:tr w14:paraId="3FAB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131C070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tcBorders>
              <w:left w:val="single" w:color="auto" w:sz="4" w:space="0"/>
              <w:right w:val="single" w:color="auto" w:sz="4" w:space="0"/>
            </w:tcBorders>
            <w:noWrap w:val="0"/>
            <w:vAlign w:val="center"/>
          </w:tcPr>
          <w:p w14:paraId="6EA07536">
            <w:pPr>
              <w:spacing w:line="360" w:lineRule="auto"/>
              <w:rPr>
                <w:rFonts w:hint="eastAsia" w:ascii="仿宋" w:hAnsi="仿宋" w:eastAsia="仿宋" w:cstheme="minorBidi"/>
                <w:bCs/>
                <w:kern w:val="2"/>
                <w:sz w:val="21"/>
                <w:szCs w:val="21"/>
                <w:lang w:val="en-US" w:eastAsia="zh-CN" w:bidi="ar-SA"/>
              </w:rPr>
            </w:pPr>
            <w:bookmarkStart w:id="5" w:name="_Toc193794683"/>
            <w:r>
              <w:rPr>
                <w:rFonts w:hint="eastAsia" w:ascii="仿宋" w:hAnsi="仿宋" w:eastAsia="仿宋" w:cstheme="minorBidi"/>
                <w:bCs/>
                <w:kern w:val="2"/>
                <w:sz w:val="21"/>
                <w:szCs w:val="21"/>
                <w:lang w:val="en-US" w:eastAsia="zh-CN" w:bidi="ar-SA"/>
              </w:rPr>
              <w:t>入库信息推送</w:t>
            </w:r>
            <w:bookmarkEnd w:id="5"/>
          </w:p>
        </w:tc>
        <w:tc>
          <w:tcPr>
            <w:tcW w:w="4190" w:type="dxa"/>
            <w:tcBorders>
              <w:top w:val="single" w:color="auto" w:sz="4" w:space="0"/>
              <w:left w:val="single" w:color="auto" w:sz="4" w:space="0"/>
              <w:bottom w:val="single" w:color="auto" w:sz="4" w:space="0"/>
              <w:right w:val="single" w:color="auto" w:sz="4" w:space="0"/>
            </w:tcBorders>
            <w:noWrap w:val="0"/>
            <w:vAlign w:val="top"/>
          </w:tcPr>
          <w:p w14:paraId="4562947F">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药品完成入库流程后，系统应自动将详细的入库信息精准推送至医院信息管理系统（HIS），确保数据的实时更新与同步，实现 “一键入库”功能，药库药师不需要手工录入库单，完成药品自动入库。</w:t>
            </w:r>
          </w:p>
        </w:tc>
        <w:tc>
          <w:tcPr>
            <w:tcW w:w="775" w:type="dxa"/>
            <w:tcBorders>
              <w:top w:val="single" w:color="auto" w:sz="4" w:space="0"/>
              <w:left w:val="single" w:color="auto" w:sz="4" w:space="0"/>
              <w:bottom w:val="single" w:color="auto" w:sz="4" w:space="0"/>
              <w:right w:val="single" w:color="auto" w:sz="4" w:space="0"/>
            </w:tcBorders>
            <w:noWrap w:val="0"/>
            <w:vAlign w:val="top"/>
          </w:tcPr>
          <w:p w14:paraId="26AC8D0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13BA3ED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72570BB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730234C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46CD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46" w:type="dxa"/>
            <w:vMerge w:val="restart"/>
            <w:tcBorders>
              <w:left w:val="single" w:color="auto" w:sz="4" w:space="0"/>
              <w:right w:val="single" w:color="auto" w:sz="4" w:space="0"/>
            </w:tcBorders>
            <w:noWrap w:val="0"/>
            <w:vAlign w:val="center"/>
          </w:tcPr>
          <w:p w14:paraId="2884C29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bookmarkStart w:id="6" w:name="_Toc193794684"/>
            <w:r>
              <w:rPr>
                <w:rFonts w:hint="eastAsia" w:ascii="仿宋" w:hAnsi="仿宋" w:eastAsia="仿宋" w:cstheme="minorBidi"/>
                <w:bCs/>
                <w:kern w:val="2"/>
                <w:sz w:val="21"/>
                <w:szCs w:val="21"/>
                <w:lang w:val="en-US" w:eastAsia="zh-CN" w:bidi="ar-SA"/>
              </w:rPr>
              <w:t>药库退货追溯码管理</w:t>
            </w:r>
            <w:bookmarkEnd w:id="6"/>
          </w:p>
        </w:tc>
        <w:tc>
          <w:tcPr>
            <w:tcW w:w="1157" w:type="dxa"/>
            <w:vMerge w:val="restart"/>
            <w:tcBorders>
              <w:left w:val="single" w:color="auto" w:sz="4" w:space="0"/>
              <w:right w:val="single" w:color="auto" w:sz="4" w:space="0"/>
            </w:tcBorders>
            <w:noWrap w:val="0"/>
            <w:vAlign w:val="center"/>
          </w:tcPr>
          <w:p w14:paraId="0B437256">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追溯码采集</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76BC8615">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系统应兼容多种采集方式，保障数据全面性，同时兼顾不同场景下的操作便利性，从源头把控药品来源，确保可追溯性。</w:t>
            </w:r>
          </w:p>
        </w:tc>
        <w:tc>
          <w:tcPr>
            <w:tcW w:w="775" w:type="dxa"/>
            <w:vMerge w:val="restart"/>
            <w:tcBorders>
              <w:top w:val="single" w:color="auto" w:sz="4" w:space="0"/>
              <w:left w:val="single" w:color="auto" w:sz="4" w:space="0"/>
              <w:right w:val="single" w:color="auto" w:sz="4" w:space="0"/>
            </w:tcBorders>
            <w:noWrap w:val="0"/>
            <w:vAlign w:val="top"/>
          </w:tcPr>
          <w:p w14:paraId="1931067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vMerge w:val="restart"/>
            <w:tcBorders>
              <w:left w:val="single" w:color="auto" w:sz="4" w:space="0"/>
              <w:right w:val="single" w:color="auto" w:sz="4" w:space="0"/>
            </w:tcBorders>
            <w:noWrap w:val="0"/>
            <w:vAlign w:val="center"/>
          </w:tcPr>
          <w:p w14:paraId="2DE7D6A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vMerge w:val="restart"/>
            <w:tcBorders>
              <w:left w:val="single" w:color="auto" w:sz="4" w:space="0"/>
              <w:right w:val="single" w:color="auto" w:sz="4" w:space="0"/>
            </w:tcBorders>
            <w:noWrap w:val="0"/>
            <w:vAlign w:val="center"/>
          </w:tcPr>
          <w:p w14:paraId="3044B2C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vMerge w:val="restart"/>
            <w:tcBorders>
              <w:left w:val="single" w:color="auto" w:sz="4" w:space="0"/>
              <w:right w:val="single" w:color="auto" w:sz="4" w:space="0"/>
            </w:tcBorders>
            <w:noWrap w:val="0"/>
            <w:vAlign w:val="top"/>
          </w:tcPr>
          <w:p w14:paraId="0EE7DBB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5112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46" w:type="dxa"/>
            <w:vMerge w:val="continue"/>
            <w:tcBorders>
              <w:left w:val="single" w:color="auto" w:sz="4" w:space="0"/>
              <w:right w:val="single" w:color="auto" w:sz="4" w:space="0"/>
            </w:tcBorders>
            <w:noWrap w:val="0"/>
            <w:vAlign w:val="center"/>
          </w:tcPr>
          <w:p w14:paraId="4476FE0E">
            <w:pPr>
              <w:spacing w:line="360" w:lineRule="auto"/>
            </w:pPr>
          </w:p>
        </w:tc>
        <w:tc>
          <w:tcPr>
            <w:tcW w:w="1157" w:type="dxa"/>
            <w:vMerge w:val="continue"/>
            <w:tcBorders>
              <w:left w:val="single" w:color="auto" w:sz="4" w:space="0"/>
              <w:right w:val="single" w:color="auto" w:sz="4" w:space="0"/>
            </w:tcBorders>
            <w:noWrap w:val="0"/>
            <w:vAlign w:val="center"/>
          </w:tcPr>
          <w:p w14:paraId="04805E88">
            <w:pPr>
              <w:spacing w:line="360" w:lineRule="auto"/>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23EE2A43">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系统应支持PDA端进行采集操作。</w:t>
            </w:r>
          </w:p>
        </w:tc>
        <w:tc>
          <w:tcPr>
            <w:tcW w:w="775" w:type="dxa"/>
            <w:vMerge w:val="continue"/>
            <w:tcBorders>
              <w:left w:val="single" w:color="auto" w:sz="4" w:space="0"/>
              <w:right w:val="single" w:color="auto" w:sz="4" w:space="0"/>
            </w:tcBorders>
            <w:noWrap w:val="0"/>
            <w:vAlign w:val="top"/>
          </w:tcPr>
          <w:p w14:paraId="2DDD1BA8">
            <w:pPr>
              <w:spacing w:line="360" w:lineRule="auto"/>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703C332C">
            <w:pPr>
              <w:spacing w:line="360" w:lineRule="auto"/>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7371457F">
            <w:pPr>
              <w:spacing w:line="360" w:lineRule="auto"/>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30FE641C">
            <w:pPr>
              <w:spacing w:line="360" w:lineRule="auto"/>
              <w:rPr>
                <w:rFonts w:hint="eastAsia" w:ascii="仿宋" w:hAnsi="仿宋" w:eastAsia="仿宋" w:cstheme="minorBidi"/>
                <w:bCs/>
                <w:kern w:val="2"/>
                <w:sz w:val="21"/>
                <w:szCs w:val="21"/>
                <w:lang w:val="en-US" w:eastAsia="zh-CN" w:bidi="ar-SA"/>
              </w:rPr>
            </w:pPr>
          </w:p>
        </w:tc>
      </w:tr>
      <w:tr w14:paraId="5A33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46" w:type="dxa"/>
            <w:vMerge w:val="continue"/>
            <w:tcBorders>
              <w:left w:val="single" w:color="auto" w:sz="4" w:space="0"/>
              <w:right w:val="single" w:color="auto" w:sz="4" w:space="0"/>
            </w:tcBorders>
            <w:noWrap w:val="0"/>
            <w:vAlign w:val="center"/>
          </w:tcPr>
          <w:p w14:paraId="29B795A8">
            <w:pPr>
              <w:spacing w:line="360" w:lineRule="auto"/>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5EDE247E">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13DE816F">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系统应支持PC端配合高拍仪进行采集操作。</w:t>
            </w:r>
          </w:p>
        </w:tc>
        <w:tc>
          <w:tcPr>
            <w:tcW w:w="775" w:type="dxa"/>
            <w:vMerge w:val="continue"/>
            <w:tcBorders>
              <w:left w:val="single" w:color="auto" w:sz="4" w:space="0"/>
              <w:right w:val="single" w:color="auto" w:sz="4" w:space="0"/>
            </w:tcBorders>
            <w:noWrap w:val="0"/>
            <w:vAlign w:val="top"/>
          </w:tcPr>
          <w:p w14:paraId="144B9165">
            <w:pPr>
              <w:spacing w:line="360" w:lineRule="auto"/>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48BD1D4D">
            <w:pPr>
              <w:spacing w:line="360" w:lineRule="auto"/>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77D71578">
            <w:pPr>
              <w:spacing w:line="360" w:lineRule="auto"/>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3079CA8B">
            <w:pPr>
              <w:spacing w:line="360" w:lineRule="auto"/>
              <w:rPr>
                <w:rFonts w:hint="eastAsia" w:ascii="仿宋" w:hAnsi="仿宋" w:eastAsia="仿宋" w:cstheme="minorBidi"/>
                <w:bCs/>
                <w:kern w:val="2"/>
                <w:sz w:val="21"/>
                <w:szCs w:val="21"/>
                <w:lang w:val="en-US" w:eastAsia="zh-CN" w:bidi="ar-SA"/>
              </w:rPr>
            </w:pPr>
          </w:p>
        </w:tc>
      </w:tr>
      <w:tr w14:paraId="0564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46" w:type="dxa"/>
            <w:vMerge w:val="continue"/>
            <w:tcBorders>
              <w:left w:val="single" w:color="auto" w:sz="4" w:space="0"/>
              <w:right w:val="single" w:color="auto" w:sz="4" w:space="0"/>
            </w:tcBorders>
            <w:noWrap w:val="0"/>
            <w:vAlign w:val="center"/>
          </w:tcPr>
          <w:p w14:paraId="159B242D">
            <w:pPr>
              <w:spacing w:line="360" w:lineRule="auto"/>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62DE441A">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34538E70">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统应支持扫描药品外包装获取药品追溯码信息，仅需扫描大箱码、中包装码或单盒药品追溯码，即可迅速获取每一盒药品的追溯码信息。</w:t>
            </w:r>
          </w:p>
        </w:tc>
        <w:tc>
          <w:tcPr>
            <w:tcW w:w="775" w:type="dxa"/>
            <w:vMerge w:val="continue"/>
            <w:tcBorders>
              <w:left w:val="single" w:color="auto" w:sz="4" w:space="0"/>
              <w:right w:val="single" w:color="auto" w:sz="4" w:space="0"/>
            </w:tcBorders>
            <w:noWrap w:val="0"/>
            <w:vAlign w:val="top"/>
          </w:tcPr>
          <w:p w14:paraId="6595ECA0">
            <w:pPr>
              <w:spacing w:line="360" w:lineRule="auto"/>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4E0C7342">
            <w:pPr>
              <w:spacing w:line="360" w:lineRule="auto"/>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613E81A0">
            <w:pPr>
              <w:spacing w:line="360" w:lineRule="auto"/>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0CABF2E1">
            <w:pPr>
              <w:spacing w:line="360" w:lineRule="auto"/>
              <w:rPr>
                <w:rFonts w:hint="eastAsia" w:ascii="仿宋" w:hAnsi="仿宋" w:eastAsia="仿宋" w:cstheme="minorBidi"/>
                <w:bCs/>
                <w:kern w:val="2"/>
                <w:sz w:val="21"/>
                <w:szCs w:val="21"/>
                <w:lang w:val="en-US" w:eastAsia="zh-CN" w:bidi="ar-SA"/>
              </w:rPr>
            </w:pPr>
          </w:p>
        </w:tc>
      </w:tr>
      <w:tr w14:paraId="5248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46" w:type="dxa"/>
            <w:vMerge w:val="continue"/>
            <w:tcBorders>
              <w:left w:val="single" w:color="auto" w:sz="4" w:space="0"/>
              <w:right w:val="single" w:color="auto" w:sz="4" w:space="0"/>
            </w:tcBorders>
            <w:noWrap w:val="0"/>
            <w:vAlign w:val="center"/>
          </w:tcPr>
          <w:p w14:paraId="0F2A50C3">
            <w:pPr>
              <w:spacing w:line="360" w:lineRule="auto"/>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5509157E">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4159F775">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系统应支持直接扫描药品本身获取药品追溯码信息。</w:t>
            </w:r>
          </w:p>
        </w:tc>
        <w:tc>
          <w:tcPr>
            <w:tcW w:w="775" w:type="dxa"/>
            <w:vMerge w:val="continue"/>
            <w:tcBorders>
              <w:left w:val="single" w:color="auto" w:sz="4" w:space="0"/>
              <w:bottom w:val="single" w:color="auto" w:sz="4" w:space="0"/>
              <w:right w:val="single" w:color="auto" w:sz="4" w:space="0"/>
            </w:tcBorders>
            <w:noWrap w:val="0"/>
            <w:vAlign w:val="top"/>
          </w:tcPr>
          <w:p w14:paraId="0995058E">
            <w:pPr>
              <w:spacing w:line="360" w:lineRule="auto"/>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227DEC86">
            <w:pPr>
              <w:spacing w:line="360" w:lineRule="auto"/>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3DF58D6D">
            <w:pPr>
              <w:spacing w:line="360" w:lineRule="auto"/>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4C568840">
            <w:pPr>
              <w:spacing w:line="360" w:lineRule="auto"/>
              <w:rPr>
                <w:rFonts w:hint="eastAsia" w:ascii="仿宋" w:hAnsi="仿宋" w:eastAsia="仿宋" w:cstheme="minorBidi"/>
                <w:bCs/>
                <w:kern w:val="2"/>
                <w:sz w:val="21"/>
                <w:szCs w:val="21"/>
                <w:lang w:val="en-US" w:eastAsia="zh-CN" w:bidi="ar-SA"/>
              </w:rPr>
            </w:pPr>
          </w:p>
        </w:tc>
      </w:tr>
      <w:tr w14:paraId="1BAA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46" w:type="dxa"/>
            <w:vMerge w:val="continue"/>
            <w:tcBorders>
              <w:left w:val="single" w:color="auto" w:sz="4" w:space="0"/>
              <w:right w:val="single" w:color="auto" w:sz="4" w:space="0"/>
            </w:tcBorders>
            <w:noWrap w:val="0"/>
            <w:vAlign w:val="center"/>
          </w:tcPr>
          <w:p w14:paraId="029B5C2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restart"/>
            <w:tcBorders>
              <w:left w:val="single" w:color="auto" w:sz="4" w:space="0"/>
              <w:right w:val="single" w:color="auto" w:sz="4" w:space="0"/>
            </w:tcBorders>
            <w:noWrap w:val="0"/>
            <w:vAlign w:val="center"/>
          </w:tcPr>
          <w:p w14:paraId="303E9774">
            <w:pPr>
              <w:spacing w:line="360" w:lineRule="auto"/>
              <w:rPr>
                <w:rFonts w:hint="eastAsia" w:ascii="仿宋" w:hAnsi="仿宋" w:eastAsia="仿宋" w:cstheme="minorBidi"/>
                <w:bCs/>
                <w:kern w:val="2"/>
                <w:sz w:val="21"/>
                <w:szCs w:val="21"/>
                <w:lang w:val="en-US" w:eastAsia="zh-CN" w:bidi="ar-SA"/>
              </w:rPr>
            </w:pPr>
            <w:bookmarkStart w:id="7" w:name="_Toc193794686"/>
            <w:r>
              <w:rPr>
                <w:rFonts w:hint="eastAsia" w:ascii="仿宋" w:hAnsi="仿宋" w:eastAsia="仿宋" w:cstheme="minorBidi"/>
                <w:bCs/>
                <w:kern w:val="2"/>
                <w:sz w:val="21"/>
                <w:szCs w:val="21"/>
                <w:lang w:val="en-US" w:eastAsia="zh-CN" w:bidi="ar-SA"/>
              </w:rPr>
              <w:t>退货信息推送</w:t>
            </w:r>
            <w:bookmarkEnd w:id="7"/>
          </w:p>
        </w:tc>
        <w:tc>
          <w:tcPr>
            <w:tcW w:w="4190" w:type="dxa"/>
            <w:tcBorders>
              <w:top w:val="single" w:color="auto" w:sz="4" w:space="0"/>
              <w:left w:val="single" w:color="auto" w:sz="4" w:space="0"/>
              <w:bottom w:val="single" w:color="auto" w:sz="4" w:space="0"/>
              <w:right w:val="single" w:color="auto" w:sz="4" w:space="0"/>
            </w:tcBorders>
            <w:noWrap w:val="0"/>
            <w:vAlign w:val="center"/>
          </w:tcPr>
          <w:p w14:paraId="6BDF4366">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退货操作完成后，系统应自动将退货信息推送至医院信息管理系统（HIS），确保数据的实时同步与更新，及时获取准确的库存动态，及时更新库存记录</w:t>
            </w:r>
          </w:p>
        </w:tc>
        <w:tc>
          <w:tcPr>
            <w:tcW w:w="775" w:type="dxa"/>
            <w:vMerge w:val="restart"/>
            <w:tcBorders>
              <w:top w:val="single" w:color="auto" w:sz="4" w:space="0"/>
              <w:left w:val="single" w:color="auto" w:sz="4" w:space="0"/>
              <w:right w:val="single" w:color="auto" w:sz="4" w:space="0"/>
            </w:tcBorders>
            <w:noWrap w:val="0"/>
            <w:vAlign w:val="top"/>
          </w:tcPr>
          <w:p w14:paraId="50351A9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vMerge w:val="restart"/>
            <w:tcBorders>
              <w:left w:val="single" w:color="auto" w:sz="4" w:space="0"/>
              <w:right w:val="single" w:color="auto" w:sz="4" w:space="0"/>
            </w:tcBorders>
            <w:noWrap w:val="0"/>
            <w:vAlign w:val="center"/>
          </w:tcPr>
          <w:p w14:paraId="5AF291A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vMerge w:val="restart"/>
            <w:tcBorders>
              <w:left w:val="single" w:color="auto" w:sz="4" w:space="0"/>
              <w:right w:val="single" w:color="auto" w:sz="4" w:space="0"/>
            </w:tcBorders>
            <w:noWrap w:val="0"/>
            <w:vAlign w:val="center"/>
          </w:tcPr>
          <w:p w14:paraId="004A318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vMerge w:val="restart"/>
            <w:tcBorders>
              <w:left w:val="single" w:color="auto" w:sz="4" w:space="0"/>
              <w:right w:val="single" w:color="auto" w:sz="4" w:space="0"/>
            </w:tcBorders>
            <w:noWrap w:val="0"/>
            <w:vAlign w:val="top"/>
          </w:tcPr>
          <w:p w14:paraId="026B412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1EC1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46" w:type="dxa"/>
            <w:vMerge w:val="continue"/>
            <w:tcBorders>
              <w:left w:val="single" w:color="auto" w:sz="4" w:space="0"/>
              <w:right w:val="single" w:color="auto" w:sz="4" w:space="0"/>
            </w:tcBorders>
            <w:noWrap w:val="0"/>
            <w:vAlign w:val="center"/>
          </w:tcPr>
          <w:p w14:paraId="40088D37">
            <w:pPr>
              <w:spacing w:line="360" w:lineRule="auto"/>
            </w:pPr>
          </w:p>
        </w:tc>
        <w:tc>
          <w:tcPr>
            <w:tcW w:w="1157" w:type="dxa"/>
            <w:vMerge w:val="continue"/>
            <w:tcBorders>
              <w:left w:val="single" w:color="auto" w:sz="4" w:space="0"/>
              <w:right w:val="single" w:color="auto" w:sz="4" w:space="0"/>
            </w:tcBorders>
            <w:noWrap w:val="0"/>
            <w:vAlign w:val="center"/>
          </w:tcPr>
          <w:p w14:paraId="6FFA2FFE">
            <w:pPr>
              <w:spacing w:line="360" w:lineRule="auto"/>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2FABDB25">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系统应支持将退货的基本信息（药品名称、数量等）推送给HIS系统。</w:t>
            </w:r>
          </w:p>
        </w:tc>
        <w:tc>
          <w:tcPr>
            <w:tcW w:w="775" w:type="dxa"/>
            <w:vMerge w:val="continue"/>
            <w:tcBorders>
              <w:left w:val="single" w:color="auto" w:sz="4" w:space="0"/>
              <w:right w:val="single" w:color="auto" w:sz="4" w:space="0"/>
            </w:tcBorders>
            <w:noWrap w:val="0"/>
            <w:vAlign w:val="top"/>
          </w:tcPr>
          <w:p w14:paraId="47DF44DC">
            <w:pPr>
              <w:spacing w:line="360" w:lineRule="auto"/>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60F28CB7">
            <w:pPr>
              <w:spacing w:line="360" w:lineRule="auto"/>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24F39D61">
            <w:pPr>
              <w:spacing w:line="360" w:lineRule="auto"/>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1ED1D5F6">
            <w:pPr>
              <w:spacing w:line="360" w:lineRule="auto"/>
              <w:rPr>
                <w:rFonts w:hint="eastAsia" w:ascii="仿宋" w:hAnsi="仿宋" w:eastAsia="仿宋" w:cstheme="minorBidi"/>
                <w:bCs/>
                <w:kern w:val="2"/>
                <w:sz w:val="21"/>
                <w:szCs w:val="21"/>
                <w:lang w:val="en-US" w:eastAsia="zh-CN" w:bidi="ar-SA"/>
              </w:rPr>
            </w:pPr>
          </w:p>
        </w:tc>
      </w:tr>
      <w:tr w14:paraId="4AFC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46" w:type="dxa"/>
            <w:vMerge w:val="continue"/>
            <w:tcBorders>
              <w:left w:val="single" w:color="auto" w:sz="4" w:space="0"/>
              <w:right w:val="single" w:color="auto" w:sz="4" w:space="0"/>
            </w:tcBorders>
            <w:noWrap w:val="0"/>
            <w:vAlign w:val="center"/>
          </w:tcPr>
          <w:p w14:paraId="69D0636D">
            <w:pPr>
              <w:spacing w:line="360" w:lineRule="auto"/>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7993985B">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22DBDB30">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系统应支持将退货的追溯码信息推送给HIS系统，核销医院追溯码信息库内对应药品追溯码，并同步到相关采购平台，确保退货药品信息可追溯。</w:t>
            </w:r>
          </w:p>
        </w:tc>
        <w:tc>
          <w:tcPr>
            <w:tcW w:w="775" w:type="dxa"/>
            <w:vMerge w:val="continue"/>
            <w:tcBorders>
              <w:left w:val="single" w:color="auto" w:sz="4" w:space="0"/>
              <w:bottom w:val="single" w:color="auto" w:sz="4" w:space="0"/>
              <w:right w:val="single" w:color="auto" w:sz="4" w:space="0"/>
            </w:tcBorders>
            <w:noWrap w:val="0"/>
            <w:vAlign w:val="top"/>
          </w:tcPr>
          <w:p w14:paraId="66659896">
            <w:pPr>
              <w:spacing w:line="360" w:lineRule="auto"/>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18DCEF23">
            <w:pPr>
              <w:spacing w:line="360" w:lineRule="auto"/>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1C15E323">
            <w:pPr>
              <w:spacing w:line="360" w:lineRule="auto"/>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567F1E45">
            <w:pPr>
              <w:spacing w:line="360" w:lineRule="auto"/>
              <w:rPr>
                <w:rFonts w:hint="eastAsia" w:ascii="仿宋" w:hAnsi="仿宋" w:eastAsia="仿宋" w:cstheme="minorBidi"/>
                <w:bCs/>
                <w:kern w:val="2"/>
                <w:sz w:val="21"/>
                <w:szCs w:val="21"/>
                <w:lang w:val="en-US" w:eastAsia="zh-CN" w:bidi="ar-SA"/>
              </w:rPr>
            </w:pPr>
          </w:p>
        </w:tc>
      </w:tr>
      <w:tr w14:paraId="47E0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46" w:type="dxa"/>
            <w:vMerge w:val="restart"/>
            <w:tcBorders>
              <w:left w:val="single" w:color="auto" w:sz="4" w:space="0"/>
              <w:right w:val="single" w:color="auto" w:sz="4" w:space="0"/>
            </w:tcBorders>
            <w:noWrap w:val="0"/>
            <w:vAlign w:val="center"/>
          </w:tcPr>
          <w:p w14:paraId="601F36F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bookmarkStart w:id="8" w:name="_Toc193794687"/>
            <w:r>
              <w:rPr>
                <w:rFonts w:hint="eastAsia" w:ascii="仿宋" w:hAnsi="仿宋" w:eastAsia="仿宋" w:cstheme="minorBidi"/>
                <w:bCs/>
                <w:kern w:val="2"/>
                <w:sz w:val="21"/>
                <w:szCs w:val="21"/>
                <w:lang w:val="en-US" w:eastAsia="zh-CN" w:bidi="ar-SA"/>
              </w:rPr>
              <w:t>门（急）诊药房追溯码管理</w:t>
            </w:r>
            <w:bookmarkEnd w:id="8"/>
          </w:p>
        </w:tc>
        <w:tc>
          <w:tcPr>
            <w:tcW w:w="1157" w:type="dxa"/>
            <w:vMerge w:val="restart"/>
            <w:tcBorders>
              <w:left w:val="single" w:color="auto" w:sz="4" w:space="0"/>
              <w:right w:val="single" w:color="auto" w:sz="4" w:space="0"/>
            </w:tcBorders>
            <w:noWrap w:val="0"/>
            <w:vAlign w:val="center"/>
          </w:tcPr>
          <w:p w14:paraId="7ABA1D05">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拆零库管理</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6AA384C8">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需构建完善的药品拆零库功能模块，能够自动计算处方、医嘱中药品是否拆零，能够高效且精准地将成盒药品的唯一追溯码拆解为每个最小使用单位药品的独立追溯码，从而实现药品流通过程中的全程精准追踪，确保药品质量与安全的可追溯性。</w:t>
            </w:r>
          </w:p>
        </w:tc>
        <w:tc>
          <w:tcPr>
            <w:tcW w:w="775" w:type="dxa"/>
            <w:vMerge w:val="restart"/>
            <w:tcBorders>
              <w:top w:val="single" w:color="auto" w:sz="4" w:space="0"/>
              <w:left w:val="single" w:color="auto" w:sz="4" w:space="0"/>
              <w:right w:val="single" w:color="auto" w:sz="4" w:space="0"/>
            </w:tcBorders>
            <w:noWrap w:val="0"/>
            <w:vAlign w:val="top"/>
          </w:tcPr>
          <w:p w14:paraId="58D9846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vMerge w:val="restart"/>
            <w:tcBorders>
              <w:left w:val="single" w:color="auto" w:sz="4" w:space="0"/>
              <w:right w:val="single" w:color="auto" w:sz="4" w:space="0"/>
            </w:tcBorders>
            <w:noWrap w:val="0"/>
            <w:vAlign w:val="center"/>
          </w:tcPr>
          <w:p w14:paraId="4DA330F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vMerge w:val="restart"/>
            <w:tcBorders>
              <w:left w:val="single" w:color="auto" w:sz="4" w:space="0"/>
              <w:right w:val="single" w:color="auto" w:sz="4" w:space="0"/>
            </w:tcBorders>
            <w:noWrap w:val="0"/>
            <w:vAlign w:val="center"/>
          </w:tcPr>
          <w:p w14:paraId="20F7C1A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vMerge w:val="restart"/>
            <w:tcBorders>
              <w:left w:val="single" w:color="auto" w:sz="4" w:space="0"/>
              <w:right w:val="single" w:color="auto" w:sz="4" w:space="0"/>
            </w:tcBorders>
            <w:noWrap w:val="0"/>
            <w:vAlign w:val="top"/>
          </w:tcPr>
          <w:p w14:paraId="2C5773C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59E2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46" w:type="dxa"/>
            <w:vMerge w:val="continue"/>
            <w:tcBorders>
              <w:left w:val="single" w:color="auto" w:sz="4" w:space="0"/>
              <w:right w:val="single" w:color="auto" w:sz="4" w:space="0"/>
            </w:tcBorders>
            <w:noWrap w:val="0"/>
            <w:vAlign w:val="center"/>
          </w:tcPr>
          <w:p w14:paraId="01066FAE">
            <w:pPr>
              <w:spacing w:line="360" w:lineRule="auto"/>
            </w:pPr>
          </w:p>
        </w:tc>
        <w:tc>
          <w:tcPr>
            <w:tcW w:w="1157" w:type="dxa"/>
            <w:vMerge w:val="continue"/>
            <w:tcBorders>
              <w:left w:val="single" w:color="auto" w:sz="4" w:space="0"/>
              <w:right w:val="single" w:color="auto" w:sz="4" w:space="0"/>
            </w:tcBorders>
            <w:noWrap w:val="0"/>
            <w:vAlign w:val="center"/>
          </w:tcPr>
          <w:p w14:paraId="2F3F79B6">
            <w:pPr>
              <w:spacing w:line="360" w:lineRule="auto"/>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049FCB3A">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拆零库设置功能：系统应支持药师根据实际需求，按照药房及药品的具体维度灵活进行拆零库的设置操作，满足不同药房、不同药品种类的个性化拆零管理要求。</w:t>
            </w:r>
          </w:p>
        </w:tc>
        <w:tc>
          <w:tcPr>
            <w:tcW w:w="775" w:type="dxa"/>
            <w:vMerge w:val="continue"/>
            <w:tcBorders>
              <w:left w:val="single" w:color="auto" w:sz="4" w:space="0"/>
              <w:right w:val="single" w:color="auto" w:sz="4" w:space="0"/>
            </w:tcBorders>
            <w:noWrap w:val="0"/>
            <w:vAlign w:val="top"/>
          </w:tcPr>
          <w:p w14:paraId="4F9D1168">
            <w:pPr>
              <w:spacing w:line="360" w:lineRule="auto"/>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6366FD2A">
            <w:pPr>
              <w:spacing w:line="360" w:lineRule="auto"/>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58B21C1B">
            <w:pPr>
              <w:spacing w:line="360" w:lineRule="auto"/>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040F2A29">
            <w:pPr>
              <w:spacing w:line="360" w:lineRule="auto"/>
              <w:rPr>
                <w:rFonts w:hint="eastAsia" w:ascii="仿宋" w:hAnsi="仿宋" w:eastAsia="仿宋" w:cstheme="minorBidi"/>
                <w:bCs/>
                <w:kern w:val="2"/>
                <w:sz w:val="21"/>
                <w:szCs w:val="21"/>
                <w:lang w:val="en-US" w:eastAsia="zh-CN" w:bidi="ar-SA"/>
              </w:rPr>
            </w:pPr>
          </w:p>
        </w:tc>
      </w:tr>
      <w:tr w14:paraId="2D41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46" w:type="dxa"/>
            <w:vMerge w:val="continue"/>
            <w:tcBorders>
              <w:left w:val="single" w:color="auto" w:sz="4" w:space="0"/>
              <w:right w:val="single" w:color="auto" w:sz="4" w:space="0"/>
            </w:tcBorders>
            <w:noWrap w:val="0"/>
            <w:vAlign w:val="center"/>
          </w:tcPr>
          <w:p w14:paraId="0133D21E">
            <w:pPr>
              <w:spacing w:line="360" w:lineRule="auto"/>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3619CCAE">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46E8B913">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追溯码拆零操作：系统应具备便捷的追溯码拆零功能，药师能够轻松选择已经设置好的拆零库，快速启动追溯码拆零流程，将成盒药品的唯一追溯码准确拆解为拆零追溯码，确保每个最小使用单位药品均拥有独立且可追溯的标识，满足药品精细化管理与质量监管的需要。</w:t>
            </w:r>
          </w:p>
        </w:tc>
        <w:tc>
          <w:tcPr>
            <w:tcW w:w="775" w:type="dxa"/>
            <w:vMerge w:val="continue"/>
            <w:tcBorders>
              <w:left w:val="single" w:color="auto" w:sz="4" w:space="0"/>
              <w:bottom w:val="single" w:color="auto" w:sz="4" w:space="0"/>
              <w:right w:val="single" w:color="auto" w:sz="4" w:space="0"/>
            </w:tcBorders>
            <w:noWrap w:val="0"/>
            <w:vAlign w:val="top"/>
          </w:tcPr>
          <w:p w14:paraId="42ED22D0">
            <w:pPr>
              <w:spacing w:line="360" w:lineRule="auto"/>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3C0E43E3">
            <w:pPr>
              <w:spacing w:line="360" w:lineRule="auto"/>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1E5DD71A">
            <w:pPr>
              <w:spacing w:line="360" w:lineRule="auto"/>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445F6B20">
            <w:pPr>
              <w:spacing w:line="360" w:lineRule="auto"/>
              <w:rPr>
                <w:rFonts w:hint="eastAsia" w:ascii="仿宋" w:hAnsi="仿宋" w:eastAsia="仿宋" w:cstheme="minorBidi"/>
                <w:bCs/>
                <w:kern w:val="2"/>
                <w:sz w:val="21"/>
                <w:szCs w:val="21"/>
                <w:lang w:val="en-US" w:eastAsia="zh-CN" w:bidi="ar-SA"/>
              </w:rPr>
            </w:pPr>
          </w:p>
        </w:tc>
      </w:tr>
      <w:tr w14:paraId="1306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7A20890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tcBorders>
              <w:left w:val="single" w:color="auto" w:sz="4" w:space="0"/>
              <w:right w:val="single" w:color="auto" w:sz="4" w:space="0"/>
            </w:tcBorders>
            <w:noWrap w:val="0"/>
            <w:vAlign w:val="center"/>
          </w:tcPr>
          <w:p w14:paraId="04326995">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多处方合并</w:t>
            </w:r>
          </w:p>
        </w:tc>
        <w:tc>
          <w:tcPr>
            <w:tcW w:w="4190" w:type="dxa"/>
            <w:tcBorders>
              <w:top w:val="single" w:color="auto" w:sz="4" w:space="0"/>
              <w:left w:val="single" w:color="auto" w:sz="4" w:space="0"/>
              <w:bottom w:val="single" w:color="auto" w:sz="4" w:space="0"/>
              <w:right w:val="single" w:color="auto" w:sz="4" w:space="0"/>
            </w:tcBorders>
            <w:noWrap w:val="0"/>
            <w:vAlign w:val="top"/>
          </w:tcPr>
          <w:p w14:paraId="5063A810">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应具备多处方识别与合并发药功能，精准识别患者多个处方条码或标签头信息。系统应通过智能算法自动关联整合同一患者的多个处方，实现一次性合并发药，避免发药遗漏或错误，确保发药准确性和安全性。</w:t>
            </w:r>
          </w:p>
        </w:tc>
        <w:tc>
          <w:tcPr>
            <w:tcW w:w="775" w:type="dxa"/>
            <w:tcBorders>
              <w:top w:val="single" w:color="auto" w:sz="4" w:space="0"/>
              <w:left w:val="single" w:color="auto" w:sz="4" w:space="0"/>
              <w:bottom w:val="single" w:color="auto" w:sz="4" w:space="0"/>
              <w:right w:val="single" w:color="auto" w:sz="4" w:space="0"/>
            </w:tcBorders>
            <w:noWrap w:val="0"/>
            <w:vAlign w:val="top"/>
          </w:tcPr>
          <w:p w14:paraId="0ECDECB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136AB08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4FE4BB8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0D593F9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7516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46" w:type="dxa"/>
            <w:vMerge w:val="continue"/>
            <w:tcBorders>
              <w:left w:val="single" w:color="auto" w:sz="4" w:space="0"/>
              <w:right w:val="single" w:color="auto" w:sz="4" w:space="0"/>
            </w:tcBorders>
            <w:noWrap w:val="0"/>
            <w:vAlign w:val="center"/>
          </w:tcPr>
          <w:p w14:paraId="47ABB86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restart"/>
            <w:tcBorders>
              <w:left w:val="single" w:color="auto" w:sz="4" w:space="0"/>
              <w:right w:val="single" w:color="auto" w:sz="4" w:space="0"/>
            </w:tcBorders>
            <w:noWrap w:val="0"/>
            <w:vAlign w:val="center"/>
          </w:tcPr>
          <w:p w14:paraId="205E4F93">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门（急）诊药房追溯码采集</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2A7688D6">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系统应融合 PDA 设备与高拍仪，实现数据采集与处理的智能化，具备以下功能：过滤无效追溯码、整盒药品追溯码采集、拆零药品追溯码分配。</w:t>
            </w:r>
          </w:p>
        </w:tc>
        <w:tc>
          <w:tcPr>
            <w:tcW w:w="775" w:type="dxa"/>
            <w:vMerge w:val="restart"/>
            <w:tcBorders>
              <w:top w:val="single" w:color="auto" w:sz="4" w:space="0"/>
              <w:left w:val="single" w:color="auto" w:sz="4" w:space="0"/>
              <w:right w:val="single" w:color="auto" w:sz="4" w:space="0"/>
            </w:tcBorders>
            <w:noWrap w:val="0"/>
            <w:vAlign w:val="top"/>
          </w:tcPr>
          <w:p w14:paraId="5E7E519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vMerge w:val="restart"/>
            <w:tcBorders>
              <w:left w:val="single" w:color="auto" w:sz="4" w:space="0"/>
              <w:right w:val="single" w:color="auto" w:sz="4" w:space="0"/>
            </w:tcBorders>
            <w:noWrap w:val="0"/>
            <w:vAlign w:val="center"/>
          </w:tcPr>
          <w:p w14:paraId="40D2ED4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vMerge w:val="restart"/>
            <w:tcBorders>
              <w:left w:val="single" w:color="auto" w:sz="4" w:space="0"/>
              <w:right w:val="single" w:color="auto" w:sz="4" w:space="0"/>
            </w:tcBorders>
            <w:noWrap w:val="0"/>
            <w:vAlign w:val="center"/>
          </w:tcPr>
          <w:p w14:paraId="0904134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vMerge w:val="restart"/>
            <w:tcBorders>
              <w:left w:val="single" w:color="auto" w:sz="4" w:space="0"/>
              <w:right w:val="single" w:color="auto" w:sz="4" w:space="0"/>
            </w:tcBorders>
            <w:noWrap w:val="0"/>
            <w:vAlign w:val="top"/>
          </w:tcPr>
          <w:p w14:paraId="42F160E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4D59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46" w:type="dxa"/>
            <w:vMerge w:val="continue"/>
            <w:tcBorders>
              <w:left w:val="single" w:color="auto" w:sz="4" w:space="0"/>
              <w:right w:val="single" w:color="auto" w:sz="4" w:space="0"/>
            </w:tcBorders>
            <w:noWrap w:val="0"/>
            <w:vAlign w:val="center"/>
          </w:tcPr>
          <w:p w14:paraId="019BE402">
            <w:pPr>
              <w:spacing w:line="360" w:lineRule="auto"/>
            </w:pPr>
          </w:p>
        </w:tc>
        <w:tc>
          <w:tcPr>
            <w:tcW w:w="1157" w:type="dxa"/>
            <w:vMerge w:val="continue"/>
            <w:tcBorders>
              <w:left w:val="single" w:color="auto" w:sz="4" w:space="0"/>
              <w:right w:val="single" w:color="auto" w:sz="4" w:space="0"/>
            </w:tcBorders>
            <w:noWrap w:val="0"/>
            <w:vAlign w:val="center"/>
          </w:tcPr>
          <w:p w14:paraId="72A4B5C0">
            <w:pPr>
              <w:spacing w:line="360" w:lineRule="auto"/>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645B56FF">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过滤无效追溯码：系统应支持自动识别并过滤掉无追溯码的药品。</w:t>
            </w:r>
          </w:p>
        </w:tc>
        <w:tc>
          <w:tcPr>
            <w:tcW w:w="775" w:type="dxa"/>
            <w:vMerge w:val="continue"/>
            <w:tcBorders>
              <w:left w:val="single" w:color="auto" w:sz="4" w:space="0"/>
              <w:right w:val="single" w:color="auto" w:sz="4" w:space="0"/>
            </w:tcBorders>
            <w:noWrap w:val="0"/>
            <w:vAlign w:val="top"/>
          </w:tcPr>
          <w:p w14:paraId="21F1BF71">
            <w:pPr>
              <w:spacing w:line="360" w:lineRule="auto"/>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2DD5D1AD">
            <w:pPr>
              <w:spacing w:line="360" w:lineRule="auto"/>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21AF2345">
            <w:pPr>
              <w:spacing w:line="360" w:lineRule="auto"/>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3B74FFF2">
            <w:pPr>
              <w:spacing w:line="360" w:lineRule="auto"/>
              <w:rPr>
                <w:rFonts w:hint="eastAsia" w:ascii="仿宋" w:hAnsi="仿宋" w:eastAsia="仿宋" w:cstheme="minorBidi"/>
                <w:bCs/>
                <w:kern w:val="2"/>
                <w:sz w:val="21"/>
                <w:szCs w:val="21"/>
                <w:lang w:val="en-US" w:eastAsia="zh-CN" w:bidi="ar-SA"/>
              </w:rPr>
            </w:pPr>
          </w:p>
        </w:tc>
      </w:tr>
      <w:tr w14:paraId="42EA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46" w:type="dxa"/>
            <w:vMerge w:val="continue"/>
            <w:tcBorders>
              <w:left w:val="single" w:color="auto" w:sz="4" w:space="0"/>
              <w:right w:val="single" w:color="auto" w:sz="4" w:space="0"/>
            </w:tcBorders>
            <w:noWrap w:val="0"/>
            <w:vAlign w:val="center"/>
          </w:tcPr>
          <w:p w14:paraId="13D4B1D8">
            <w:pPr>
              <w:spacing w:line="360" w:lineRule="auto"/>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0B75E949">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65ED49BE">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整盒药品追溯码采集：系统应支持准确抓取整盒未拆封药品的追溯码。</w:t>
            </w:r>
          </w:p>
        </w:tc>
        <w:tc>
          <w:tcPr>
            <w:tcW w:w="775" w:type="dxa"/>
            <w:vMerge w:val="continue"/>
            <w:tcBorders>
              <w:left w:val="single" w:color="auto" w:sz="4" w:space="0"/>
              <w:right w:val="single" w:color="auto" w:sz="4" w:space="0"/>
            </w:tcBorders>
            <w:noWrap w:val="0"/>
            <w:vAlign w:val="top"/>
          </w:tcPr>
          <w:p w14:paraId="7B9723D9">
            <w:pPr>
              <w:spacing w:line="360" w:lineRule="auto"/>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0256B925">
            <w:pPr>
              <w:spacing w:line="360" w:lineRule="auto"/>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4524C768">
            <w:pPr>
              <w:spacing w:line="360" w:lineRule="auto"/>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6667755D">
            <w:pPr>
              <w:spacing w:line="360" w:lineRule="auto"/>
              <w:rPr>
                <w:rFonts w:hint="eastAsia" w:ascii="仿宋" w:hAnsi="仿宋" w:eastAsia="仿宋" w:cstheme="minorBidi"/>
                <w:bCs/>
                <w:kern w:val="2"/>
                <w:sz w:val="21"/>
                <w:szCs w:val="21"/>
                <w:lang w:val="en-US" w:eastAsia="zh-CN" w:bidi="ar-SA"/>
              </w:rPr>
            </w:pPr>
          </w:p>
        </w:tc>
      </w:tr>
      <w:tr w14:paraId="58A7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46" w:type="dxa"/>
            <w:vMerge w:val="continue"/>
            <w:tcBorders>
              <w:left w:val="single" w:color="auto" w:sz="4" w:space="0"/>
              <w:right w:val="single" w:color="auto" w:sz="4" w:space="0"/>
            </w:tcBorders>
            <w:noWrap w:val="0"/>
            <w:vAlign w:val="center"/>
          </w:tcPr>
          <w:p w14:paraId="198BFAB7">
            <w:pPr>
              <w:spacing w:line="360" w:lineRule="auto"/>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6F5470E8">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482FF602">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拆零药品追溯码分配：系统应支持根据处方发药剂量，自动识别拆零药品剂量，并根据拆零库的追溯码信息，自动为拆零部分药品分配追溯码，确保每个最小单元药品的精准追踪，提升管理效率与安全性，保证供应链透明及质量可控。</w:t>
            </w:r>
          </w:p>
        </w:tc>
        <w:tc>
          <w:tcPr>
            <w:tcW w:w="775" w:type="dxa"/>
            <w:vMerge w:val="continue"/>
            <w:tcBorders>
              <w:left w:val="single" w:color="auto" w:sz="4" w:space="0"/>
              <w:bottom w:val="single" w:color="auto" w:sz="4" w:space="0"/>
              <w:right w:val="single" w:color="auto" w:sz="4" w:space="0"/>
            </w:tcBorders>
            <w:noWrap w:val="0"/>
            <w:vAlign w:val="top"/>
          </w:tcPr>
          <w:p w14:paraId="5AD9F839">
            <w:pPr>
              <w:spacing w:line="360" w:lineRule="auto"/>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5C8F139F">
            <w:pPr>
              <w:spacing w:line="360" w:lineRule="auto"/>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4FAD541C">
            <w:pPr>
              <w:spacing w:line="360" w:lineRule="auto"/>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1EB5D45F">
            <w:pPr>
              <w:spacing w:line="360" w:lineRule="auto"/>
              <w:rPr>
                <w:rFonts w:hint="eastAsia" w:ascii="仿宋" w:hAnsi="仿宋" w:eastAsia="仿宋" w:cstheme="minorBidi"/>
                <w:bCs/>
                <w:kern w:val="2"/>
                <w:sz w:val="21"/>
                <w:szCs w:val="21"/>
                <w:lang w:val="en-US" w:eastAsia="zh-CN" w:bidi="ar-SA"/>
              </w:rPr>
            </w:pPr>
          </w:p>
        </w:tc>
      </w:tr>
      <w:tr w14:paraId="4C32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46" w:type="dxa"/>
            <w:vMerge w:val="continue"/>
            <w:tcBorders>
              <w:left w:val="single" w:color="auto" w:sz="4" w:space="0"/>
              <w:right w:val="single" w:color="auto" w:sz="4" w:space="0"/>
            </w:tcBorders>
            <w:noWrap w:val="0"/>
            <w:vAlign w:val="center"/>
          </w:tcPr>
          <w:p w14:paraId="25B119E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restart"/>
            <w:tcBorders>
              <w:left w:val="single" w:color="auto" w:sz="4" w:space="0"/>
              <w:right w:val="single" w:color="auto" w:sz="4" w:space="0"/>
            </w:tcBorders>
            <w:noWrap w:val="0"/>
            <w:vAlign w:val="center"/>
          </w:tcPr>
          <w:p w14:paraId="31BF7BFF">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智能预警提醒</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39BB0FAF">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系统需具备药品安全性提醒与智能预警功能</w:t>
            </w:r>
          </w:p>
        </w:tc>
        <w:tc>
          <w:tcPr>
            <w:tcW w:w="775" w:type="dxa"/>
            <w:vMerge w:val="restart"/>
            <w:tcBorders>
              <w:top w:val="single" w:color="auto" w:sz="4" w:space="0"/>
              <w:left w:val="single" w:color="auto" w:sz="4" w:space="0"/>
              <w:right w:val="single" w:color="auto" w:sz="4" w:space="0"/>
            </w:tcBorders>
            <w:noWrap w:val="0"/>
            <w:vAlign w:val="top"/>
          </w:tcPr>
          <w:p w14:paraId="31FCACC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vMerge w:val="restart"/>
            <w:tcBorders>
              <w:left w:val="single" w:color="auto" w:sz="4" w:space="0"/>
              <w:right w:val="single" w:color="auto" w:sz="4" w:space="0"/>
            </w:tcBorders>
            <w:noWrap w:val="0"/>
            <w:vAlign w:val="center"/>
          </w:tcPr>
          <w:p w14:paraId="5F9AC29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vMerge w:val="restart"/>
            <w:tcBorders>
              <w:left w:val="single" w:color="auto" w:sz="4" w:space="0"/>
              <w:right w:val="single" w:color="auto" w:sz="4" w:space="0"/>
            </w:tcBorders>
            <w:noWrap w:val="0"/>
            <w:vAlign w:val="center"/>
          </w:tcPr>
          <w:p w14:paraId="7A7B482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vMerge w:val="restart"/>
            <w:tcBorders>
              <w:left w:val="single" w:color="auto" w:sz="4" w:space="0"/>
              <w:right w:val="single" w:color="auto" w:sz="4" w:space="0"/>
            </w:tcBorders>
            <w:noWrap w:val="0"/>
            <w:vAlign w:val="top"/>
          </w:tcPr>
          <w:p w14:paraId="270B225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6C5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46" w:type="dxa"/>
            <w:vMerge w:val="continue"/>
            <w:tcBorders>
              <w:left w:val="single" w:color="auto" w:sz="4" w:space="0"/>
              <w:right w:val="single" w:color="auto" w:sz="4" w:space="0"/>
            </w:tcBorders>
            <w:noWrap w:val="0"/>
            <w:vAlign w:val="center"/>
          </w:tcPr>
          <w:p w14:paraId="69A3C8C6">
            <w:pPr>
              <w:spacing w:line="360" w:lineRule="auto"/>
            </w:pPr>
          </w:p>
        </w:tc>
        <w:tc>
          <w:tcPr>
            <w:tcW w:w="1157" w:type="dxa"/>
            <w:vMerge w:val="continue"/>
            <w:tcBorders>
              <w:left w:val="single" w:color="auto" w:sz="4" w:space="0"/>
              <w:right w:val="single" w:color="auto" w:sz="4" w:space="0"/>
            </w:tcBorders>
            <w:noWrap w:val="0"/>
            <w:vAlign w:val="center"/>
          </w:tcPr>
          <w:p w14:paraId="12312B7A">
            <w:pPr>
              <w:spacing w:line="360" w:lineRule="auto"/>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4369BF72">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当遇到过期药品的时候，系统应支持在药品追溯码扫码核发时提醒药品已过期，页面弹窗警示内容，并禁止核发。</w:t>
            </w:r>
          </w:p>
        </w:tc>
        <w:tc>
          <w:tcPr>
            <w:tcW w:w="775" w:type="dxa"/>
            <w:vMerge w:val="continue"/>
            <w:tcBorders>
              <w:left w:val="single" w:color="auto" w:sz="4" w:space="0"/>
              <w:right w:val="single" w:color="auto" w:sz="4" w:space="0"/>
            </w:tcBorders>
            <w:noWrap w:val="0"/>
            <w:vAlign w:val="top"/>
          </w:tcPr>
          <w:p w14:paraId="3C1931EB">
            <w:pPr>
              <w:spacing w:line="360" w:lineRule="auto"/>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73F5F212">
            <w:pPr>
              <w:spacing w:line="360" w:lineRule="auto"/>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13E8D9E0">
            <w:pPr>
              <w:spacing w:line="360" w:lineRule="auto"/>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0BFA712D">
            <w:pPr>
              <w:spacing w:line="360" w:lineRule="auto"/>
              <w:rPr>
                <w:rFonts w:hint="eastAsia" w:ascii="仿宋" w:hAnsi="仿宋" w:eastAsia="仿宋" w:cstheme="minorBidi"/>
                <w:bCs/>
                <w:kern w:val="2"/>
                <w:sz w:val="21"/>
                <w:szCs w:val="21"/>
                <w:lang w:val="en-US" w:eastAsia="zh-CN" w:bidi="ar-SA"/>
              </w:rPr>
            </w:pPr>
          </w:p>
        </w:tc>
      </w:tr>
      <w:tr w14:paraId="681E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46" w:type="dxa"/>
            <w:vMerge w:val="continue"/>
            <w:tcBorders>
              <w:left w:val="single" w:color="auto" w:sz="4" w:space="0"/>
              <w:right w:val="single" w:color="auto" w:sz="4" w:space="0"/>
            </w:tcBorders>
            <w:noWrap w:val="0"/>
            <w:vAlign w:val="center"/>
          </w:tcPr>
          <w:p w14:paraId="14EF87DD">
            <w:pPr>
              <w:spacing w:line="360" w:lineRule="auto"/>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404A964A">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30AB0031">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系统应支持能在多拿药、少拿药、错拿药、重复发药、条码异常、追溯码异常等场景下，弹窗预警内容，提示配方错误，并禁止核发操作。</w:t>
            </w:r>
          </w:p>
        </w:tc>
        <w:tc>
          <w:tcPr>
            <w:tcW w:w="775" w:type="dxa"/>
            <w:vMerge w:val="continue"/>
            <w:tcBorders>
              <w:left w:val="single" w:color="auto" w:sz="4" w:space="0"/>
              <w:right w:val="single" w:color="auto" w:sz="4" w:space="0"/>
            </w:tcBorders>
            <w:noWrap w:val="0"/>
            <w:vAlign w:val="top"/>
          </w:tcPr>
          <w:p w14:paraId="792EE646">
            <w:pPr>
              <w:spacing w:line="360" w:lineRule="auto"/>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3CB80277">
            <w:pPr>
              <w:spacing w:line="360" w:lineRule="auto"/>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1070A933">
            <w:pPr>
              <w:spacing w:line="360" w:lineRule="auto"/>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72A9F2F2">
            <w:pPr>
              <w:spacing w:line="360" w:lineRule="auto"/>
              <w:rPr>
                <w:rFonts w:hint="eastAsia" w:ascii="仿宋" w:hAnsi="仿宋" w:eastAsia="仿宋" w:cstheme="minorBidi"/>
                <w:bCs/>
                <w:kern w:val="2"/>
                <w:sz w:val="21"/>
                <w:szCs w:val="21"/>
                <w:lang w:val="en-US" w:eastAsia="zh-CN" w:bidi="ar-SA"/>
              </w:rPr>
            </w:pPr>
          </w:p>
        </w:tc>
      </w:tr>
      <w:tr w14:paraId="30A2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46" w:type="dxa"/>
            <w:vMerge w:val="continue"/>
            <w:tcBorders>
              <w:left w:val="single" w:color="auto" w:sz="4" w:space="0"/>
              <w:right w:val="single" w:color="auto" w:sz="4" w:space="0"/>
            </w:tcBorders>
            <w:noWrap w:val="0"/>
            <w:vAlign w:val="center"/>
          </w:tcPr>
          <w:p w14:paraId="46F6CE92">
            <w:pPr>
              <w:spacing w:line="360" w:lineRule="auto"/>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5BCD950C">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2DCBCD70">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系统供应支持不同患者条码同时进行扫码核发时，系统应提示条码错误预警，并禁止本次核发操作。</w:t>
            </w:r>
          </w:p>
        </w:tc>
        <w:tc>
          <w:tcPr>
            <w:tcW w:w="775" w:type="dxa"/>
            <w:vMerge w:val="continue"/>
            <w:tcBorders>
              <w:left w:val="single" w:color="auto" w:sz="4" w:space="0"/>
              <w:bottom w:val="single" w:color="auto" w:sz="4" w:space="0"/>
              <w:right w:val="single" w:color="auto" w:sz="4" w:space="0"/>
            </w:tcBorders>
            <w:noWrap w:val="0"/>
            <w:vAlign w:val="top"/>
          </w:tcPr>
          <w:p w14:paraId="1ECA1FAE">
            <w:pPr>
              <w:spacing w:line="360" w:lineRule="auto"/>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369DAB4E">
            <w:pPr>
              <w:spacing w:line="360" w:lineRule="auto"/>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5A6AA683">
            <w:pPr>
              <w:spacing w:line="360" w:lineRule="auto"/>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6D769B84">
            <w:pPr>
              <w:spacing w:line="360" w:lineRule="auto"/>
              <w:rPr>
                <w:rFonts w:hint="eastAsia" w:ascii="仿宋" w:hAnsi="仿宋" w:eastAsia="仿宋" w:cstheme="minorBidi"/>
                <w:bCs/>
                <w:kern w:val="2"/>
                <w:sz w:val="21"/>
                <w:szCs w:val="21"/>
                <w:lang w:val="en-US" w:eastAsia="zh-CN" w:bidi="ar-SA"/>
              </w:rPr>
            </w:pPr>
          </w:p>
        </w:tc>
      </w:tr>
      <w:tr w14:paraId="1F4F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46" w:type="dxa"/>
            <w:vMerge w:val="continue"/>
            <w:tcBorders>
              <w:left w:val="single" w:color="auto" w:sz="4" w:space="0"/>
              <w:right w:val="single" w:color="auto" w:sz="4" w:space="0"/>
            </w:tcBorders>
            <w:noWrap w:val="0"/>
            <w:vAlign w:val="center"/>
          </w:tcPr>
          <w:p w14:paraId="64F5588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restart"/>
            <w:tcBorders>
              <w:left w:val="single" w:color="auto" w:sz="4" w:space="0"/>
              <w:right w:val="single" w:color="auto" w:sz="4" w:space="0"/>
            </w:tcBorders>
            <w:noWrap w:val="0"/>
            <w:vAlign w:val="center"/>
          </w:tcPr>
          <w:p w14:paraId="30496755">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一键推送</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7D36EAA0">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完成药品追溯码信息核验后，系统应自动将发药信息推送至医院信息管理系统（HIS），实现信息的实时同步，确保能够及时更新库存记录，提高药品发放流程的效率和准确性，确保药品管理的规范化和透明度，提升医院整体的运营效率和服务质量。</w:t>
            </w:r>
          </w:p>
        </w:tc>
        <w:tc>
          <w:tcPr>
            <w:tcW w:w="775" w:type="dxa"/>
            <w:vMerge w:val="restart"/>
            <w:tcBorders>
              <w:top w:val="single" w:color="auto" w:sz="4" w:space="0"/>
              <w:left w:val="single" w:color="auto" w:sz="4" w:space="0"/>
              <w:right w:val="single" w:color="auto" w:sz="4" w:space="0"/>
            </w:tcBorders>
            <w:noWrap w:val="0"/>
            <w:vAlign w:val="top"/>
          </w:tcPr>
          <w:p w14:paraId="1AAC0A9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vMerge w:val="restart"/>
            <w:tcBorders>
              <w:left w:val="single" w:color="auto" w:sz="4" w:space="0"/>
              <w:right w:val="single" w:color="auto" w:sz="4" w:space="0"/>
            </w:tcBorders>
            <w:noWrap w:val="0"/>
            <w:vAlign w:val="center"/>
          </w:tcPr>
          <w:p w14:paraId="4EA18DC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vMerge w:val="restart"/>
            <w:tcBorders>
              <w:left w:val="single" w:color="auto" w:sz="4" w:space="0"/>
              <w:right w:val="single" w:color="auto" w:sz="4" w:space="0"/>
            </w:tcBorders>
            <w:noWrap w:val="0"/>
            <w:vAlign w:val="center"/>
          </w:tcPr>
          <w:p w14:paraId="51C82AE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vMerge w:val="restart"/>
            <w:tcBorders>
              <w:left w:val="single" w:color="auto" w:sz="4" w:space="0"/>
              <w:right w:val="single" w:color="auto" w:sz="4" w:space="0"/>
            </w:tcBorders>
            <w:noWrap w:val="0"/>
            <w:vAlign w:val="top"/>
          </w:tcPr>
          <w:p w14:paraId="0C62CB8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7B8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46" w:type="dxa"/>
            <w:vMerge w:val="continue"/>
            <w:tcBorders>
              <w:left w:val="single" w:color="auto" w:sz="4" w:space="0"/>
              <w:right w:val="single" w:color="auto" w:sz="4" w:space="0"/>
            </w:tcBorders>
            <w:noWrap w:val="0"/>
            <w:vAlign w:val="center"/>
          </w:tcPr>
          <w:p w14:paraId="0809D714">
            <w:pPr>
              <w:spacing w:line="360" w:lineRule="auto"/>
            </w:pPr>
          </w:p>
        </w:tc>
        <w:tc>
          <w:tcPr>
            <w:tcW w:w="1157" w:type="dxa"/>
            <w:vMerge w:val="continue"/>
            <w:tcBorders>
              <w:left w:val="single" w:color="auto" w:sz="4" w:space="0"/>
              <w:right w:val="single" w:color="auto" w:sz="4" w:space="0"/>
            </w:tcBorders>
            <w:noWrap w:val="0"/>
            <w:vAlign w:val="center"/>
          </w:tcPr>
          <w:p w14:paraId="224ABFBF">
            <w:pPr>
              <w:spacing w:line="360" w:lineRule="auto"/>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0EF9B223">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系统应支持将发药的基本信息（药品名称、数量等）推送给HIS系统。</w:t>
            </w:r>
          </w:p>
        </w:tc>
        <w:tc>
          <w:tcPr>
            <w:tcW w:w="775" w:type="dxa"/>
            <w:vMerge w:val="continue"/>
            <w:tcBorders>
              <w:left w:val="single" w:color="auto" w:sz="4" w:space="0"/>
              <w:right w:val="single" w:color="auto" w:sz="4" w:space="0"/>
            </w:tcBorders>
            <w:noWrap w:val="0"/>
            <w:vAlign w:val="top"/>
          </w:tcPr>
          <w:p w14:paraId="3A8A7B07">
            <w:pPr>
              <w:spacing w:line="360" w:lineRule="auto"/>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39BAE12B">
            <w:pPr>
              <w:spacing w:line="360" w:lineRule="auto"/>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5CD1E89A">
            <w:pPr>
              <w:spacing w:line="360" w:lineRule="auto"/>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293C6A96">
            <w:pPr>
              <w:spacing w:line="360" w:lineRule="auto"/>
              <w:rPr>
                <w:rFonts w:hint="eastAsia" w:ascii="仿宋" w:hAnsi="仿宋" w:eastAsia="仿宋" w:cstheme="minorBidi"/>
                <w:bCs/>
                <w:kern w:val="2"/>
                <w:sz w:val="21"/>
                <w:szCs w:val="21"/>
                <w:lang w:val="en-US" w:eastAsia="zh-CN" w:bidi="ar-SA"/>
              </w:rPr>
            </w:pPr>
          </w:p>
        </w:tc>
      </w:tr>
      <w:tr w14:paraId="70F7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46" w:type="dxa"/>
            <w:vMerge w:val="continue"/>
            <w:tcBorders>
              <w:left w:val="single" w:color="auto" w:sz="4" w:space="0"/>
              <w:right w:val="single" w:color="auto" w:sz="4" w:space="0"/>
            </w:tcBorders>
            <w:noWrap w:val="0"/>
            <w:vAlign w:val="center"/>
          </w:tcPr>
          <w:p w14:paraId="6C28A18E">
            <w:pPr>
              <w:spacing w:line="360" w:lineRule="auto"/>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79D4C2BD">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33885E9B">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系统应支持将发药的追溯码信息推送给HIS系统。</w:t>
            </w:r>
          </w:p>
        </w:tc>
        <w:tc>
          <w:tcPr>
            <w:tcW w:w="775" w:type="dxa"/>
            <w:vMerge w:val="continue"/>
            <w:tcBorders>
              <w:left w:val="single" w:color="auto" w:sz="4" w:space="0"/>
              <w:bottom w:val="single" w:color="auto" w:sz="4" w:space="0"/>
              <w:right w:val="single" w:color="auto" w:sz="4" w:space="0"/>
            </w:tcBorders>
            <w:noWrap w:val="0"/>
            <w:vAlign w:val="top"/>
          </w:tcPr>
          <w:p w14:paraId="172CCDCC">
            <w:pPr>
              <w:spacing w:line="360" w:lineRule="auto"/>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6DC81A30">
            <w:pPr>
              <w:spacing w:line="360" w:lineRule="auto"/>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0A0B7E10">
            <w:pPr>
              <w:spacing w:line="360" w:lineRule="auto"/>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14FA444C">
            <w:pPr>
              <w:spacing w:line="360" w:lineRule="auto"/>
              <w:rPr>
                <w:rFonts w:hint="eastAsia" w:ascii="仿宋" w:hAnsi="仿宋" w:eastAsia="仿宋" w:cstheme="minorBidi"/>
                <w:bCs/>
                <w:kern w:val="2"/>
                <w:sz w:val="21"/>
                <w:szCs w:val="21"/>
                <w:lang w:val="en-US" w:eastAsia="zh-CN" w:bidi="ar-SA"/>
              </w:rPr>
            </w:pPr>
          </w:p>
        </w:tc>
      </w:tr>
      <w:tr w14:paraId="7E42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restart"/>
            <w:tcBorders>
              <w:left w:val="single" w:color="auto" w:sz="4" w:space="0"/>
              <w:right w:val="single" w:color="auto" w:sz="4" w:space="0"/>
            </w:tcBorders>
            <w:noWrap w:val="0"/>
            <w:vAlign w:val="center"/>
          </w:tcPr>
          <w:p w14:paraId="6ADC16A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住院药房追溯码管理</w:t>
            </w:r>
          </w:p>
        </w:tc>
        <w:tc>
          <w:tcPr>
            <w:tcW w:w="1157" w:type="dxa"/>
            <w:tcBorders>
              <w:left w:val="single" w:color="auto" w:sz="4" w:space="0"/>
              <w:right w:val="single" w:color="auto" w:sz="4" w:space="0"/>
            </w:tcBorders>
            <w:noWrap w:val="0"/>
            <w:vAlign w:val="center"/>
          </w:tcPr>
          <w:p w14:paraId="35F4141B">
            <w:pPr>
              <w:spacing w:line="360" w:lineRule="auto"/>
              <w:rPr>
                <w:rFonts w:hint="eastAsia" w:ascii="仿宋" w:hAnsi="仿宋" w:eastAsia="仿宋" w:cstheme="minorBidi"/>
                <w:bCs/>
                <w:kern w:val="2"/>
                <w:sz w:val="21"/>
                <w:szCs w:val="21"/>
                <w:lang w:val="en-US" w:eastAsia="zh-CN" w:bidi="ar-SA"/>
              </w:rPr>
            </w:pPr>
            <w:bookmarkStart w:id="9" w:name="_Toc193794689"/>
            <w:r>
              <w:rPr>
                <w:rFonts w:hint="eastAsia" w:ascii="仿宋" w:hAnsi="仿宋" w:eastAsia="仿宋" w:cstheme="minorBidi"/>
                <w:bCs/>
                <w:kern w:val="2"/>
                <w:sz w:val="21"/>
                <w:szCs w:val="21"/>
                <w:lang w:val="en-US" w:eastAsia="zh-CN" w:bidi="ar-SA"/>
              </w:rPr>
              <w:t>拆零库管理</w:t>
            </w:r>
            <w:bookmarkEnd w:id="9"/>
          </w:p>
        </w:tc>
        <w:tc>
          <w:tcPr>
            <w:tcW w:w="4190" w:type="dxa"/>
            <w:tcBorders>
              <w:top w:val="single" w:color="auto" w:sz="4" w:space="0"/>
              <w:left w:val="single" w:color="auto" w:sz="4" w:space="0"/>
              <w:bottom w:val="single" w:color="auto" w:sz="4" w:space="0"/>
              <w:right w:val="single" w:color="auto" w:sz="4" w:space="0"/>
            </w:tcBorders>
            <w:noWrap w:val="0"/>
            <w:vAlign w:val="top"/>
          </w:tcPr>
          <w:p w14:paraId="2AA6AFC1">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拆零库追溯码管理同门急诊药房追溯码管理</w:t>
            </w:r>
          </w:p>
        </w:tc>
        <w:tc>
          <w:tcPr>
            <w:tcW w:w="775" w:type="dxa"/>
            <w:tcBorders>
              <w:top w:val="single" w:color="auto" w:sz="4" w:space="0"/>
              <w:left w:val="single" w:color="auto" w:sz="4" w:space="0"/>
              <w:bottom w:val="single" w:color="auto" w:sz="4" w:space="0"/>
              <w:right w:val="single" w:color="auto" w:sz="4" w:space="0"/>
            </w:tcBorders>
            <w:noWrap w:val="0"/>
            <w:vAlign w:val="top"/>
          </w:tcPr>
          <w:p w14:paraId="02E430B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61271B9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771314E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1B9415E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50E6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0018177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restart"/>
            <w:tcBorders>
              <w:left w:val="single" w:color="auto" w:sz="4" w:space="0"/>
              <w:right w:val="single" w:color="auto" w:sz="4" w:space="0"/>
            </w:tcBorders>
            <w:noWrap w:val="0"/>
            <w:vAlign w:val="center"/>
          </w:tcPr>
          <w:p w14:paraId="478B94A5">
            <w:pPr>
              <w:spacing w:line="360" w:lineRule="auto"/>
              <w:rPr>
                <w:rFonts w:hint="eastAsia" w:ascii="仿宋" w:hAnsi="仿宋" w:eastAsia="仿宋" w:cstheme="minorBidi"/>
                <w:bCs/>
                <w:kern w:val="2"/>
                <w:sz w:val="21"/>
                <w:szCs w:val="21"/>
                <w:lang w:val="en-US" w:eastAsia="zh-CN" w:bidi="ar-SA"/>
              </w:rPr>
            </w:pPr>
            <w:bookmarkStart w:id="10" w:name="_Toc193794691"/>
            <w:r>
              <w:rPr>
                <w:rFonts w:hint="eastAsia" w:ascii="仿宋" w:hAnsi="仿宋" w:eastAsia="仿宋" w:cstheme="minorBidi"/>
                <w:bCs/>
                <w:kern w:val="2"/>
                <w:sz w:val="21"/>
                <w:szCs w:val="21"/>
                <w:lang w:val="en-US" w:eastAsia="zh-CN" w:bidi="ar-SA"/>
              </w:rPr>
              <w:t>追溯码采集</w:t>
            </w:r>
            <w:bookmarkEnd w:id="10"/>
          </w:p>
        </w:tc>
        <w:tc>
          <w:tcPr>
            <w:tcW w:w="4190" w:type="dxa"/>
            <w:tcBorders>
              <w:top w:val="single" w:color="auto" w:sz="4" w:space="0"/>
              <w:left w:val="single" w:color="auto" w:sz="4" w:space="0"/>
              <w:bottom w:val="single" w:color="auto" w:sz="4" w:space="0"/>
              <w:right w:val="single" w:color="auto" w:sz="4" w:space="0"/>
            </w:tcBorders>
            <w:noWrap w:val="0"/>
            <w:vAlign w:val="center"/>
          </w:tcPr>
          <w:p w14:paraId="3A293405">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追溯码采集同门急诊药房追溯码管理。</w:t>
            </w:r>
          </w:p>
        </w:tc>
        <w:tc>
          <w:tcPr>
            <w:tcW w:w="775" w:type="dxa"/>
            <w:tcBorders>
              <w:top w:val="single" w:color="auto" w:sz="4" w:space="0"/>
              <w:left w:val="single" w:color="auto" w:sz="4" w:space="0"/>
              <w:bottom w:val="single" w:color="auto" w:sz="4" w:space="0"/>
              <w:right w:val="single" w:color="auto" w:sz="4" w:space="0"/>
            </w:tcBorders>
            <w:noWrap w:val="0"/>
            <w:vAlign w:val="top"/>
          </w:tcPr>
          <w:p w14:paraId="5C677D9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2D102F5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764DD7E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752D960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65B9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153D4D4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3D1462C9">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7B05AA33">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有“先采集后上传”功能，确保上传至医保平台的结算明细与销售明细紧密关联，数据准确无误，有效支持医保结算业务的需求。</w:t>
            </w:r>
          </w:p>
        </w:tc>
        <w:tc>
          <w:tcPr>
            <w:tcW w:w="775" w:type="dxa"/>
            <w:tcBorders>
              <w:top w:val="single" w:color="auto" w:sz="4" w:space="0"/>
              <w:left w:val="single" w:color="auto" w:sz="4" w:space="0"/>
              <w:bottom w:val="single" w:color="auto" w:sz="4" w:space="0"/>
              <w:right w:val="single" w:color="auto" w:sz="4" w:space="0"/>
            </w:tcBorders>
            <w:noWrap w:val="0"/>
            <w:vAlign w:val="top"/>
          </w:tcPr>
          <w:p w14:paraId="2641F37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1C08C1B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38F17BB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353270B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4CAB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6527962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tcBorders>
              <w:left w:val="single" w:color="auto" w:sz="4" w:space="0"/>
              <w:right w:val="single" w:color="auto" w:sz="4" w:space="0"/>
            </w:tcBorders>
            <w:noWrap w:val="0"/>
            <w:vAlign w:val="center"/>
          </w:tcPr>
          <w:p w14:paraId="4A96A857">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智能预警提醒</w:t>
            </w:r>
          </w:p>
        </w:tc>
        <w:tc>
          <w:tcPr>
            <w:tcW w:w="4190" w:type="dxa"/>
            <w:tcBorders>
              <w:top w:val="single" w:color="auto" w:sz="4" w:space="0"/>
              <w:left w:val="single" w:color="auto" w:sz="4" w:space="0"/>
              <w:bottom w:val="single" w:color="auto" w:sz="4" w:space="0"/>
              <w:right w:val="single" w:color="auto" w:sz="4" w:space="0"/>
            </w:tcBorders>
            <w:noWrap w:val="0"/>
            <w:vAlign w:val="top"/>
          </w:tcPr>
          <w:p w14:paraId="4FEAAC3B">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智能预警提醒同门急诊药房追溯码管理</w:t>
            </w:r>
          </w:p>
        </w:tc>
        <w:tc>
          <w:tcPr>
            <w:tcW w:w="775" w:type="dxa"/>
            <w:tcBorders>
              <w:top w:val="single" w:color="auto" w:sz="4" w:space="0"/>
              <w:left w:val="single" w:color="auto" w:sz="4" w:space="0"/>
              <w:bottom w:val="single" w:color="auto" w:sz="4" w:space="0"/>
              <w:right w:val="single" w:color="auto" w:sz="4" w:space="0"/>
            </w:tcBorders>
            <w:noWrap w:val="0"/>
            <w:vAlign w:val="top"/>
          </w:tcPr>
          <w:p w14:paraId="292493D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1947EAA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70E08E6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2569185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49F5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2A0B42C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tcBorders>
              <w:left w:val="single" w:color="auto" w:sz="4" w:space="0"/>
              <w:right w:val="single" w:color="auto" w:sz="4" w:space="0"/>
            </w:tcBorders>
            <w:noWrap w:val="0"/>
            <w:vAlign w:val="center"/>
          </w:tcPr>
          <w:p w14:paraId="346D515A">
            <w:pPr>
              <w:spacing w:line="360" w:lineRule="auto"/>
              <w:rPr>
                <w:rFonts w:hint="eastAsia" w:ascii="仿宋" w:hAnsi="仿宋" w:eastAsia="仿宋" w:cstheme="minorBidi"/>
                <w:bCs/>
                <w:kern w:val="2"/>
                <w:sz w:val="21"/>
                <w:szCs w:val="21"/>
                <w:lang w:val="en-US" w:eastAsia="zh-CN" w:bidi="ar-SA"/>
              </w:rPr>
            </w:pPr>
            <w:bookmarkStart w:id="11" w:name="_Toc193794694"/>
            <w:r>
              <w:rPr>
                <w:rFonts w:hint="eastAsia" w:ascii="仿宋" w:hAnsi="仿宋" w:eastAsia="仿宋" w:cstheme="minorBidi"/>
                <w:bCs/>
                <w:kern w:val="2"/>
                <w:sz w:val="21"/>
                <w:szCs w:val="21"/>
                <w:lang w:val="en-US" w:eastAsia="zh-CN" w:bidi="ar-SA"/>
              </w:rPr>
              <w:t>一键推送</w:t>
            </w:r>
            <w:bookmarkEnd w:id="11"/>
          </w:p>
        </w:tc>
        <w:tc>
          <w:tcPr>
            <w:tcW w:w="4190" w:type="dxa"/>
            <w:tcBorders>
              <w:top w:val="single" w:color="auto" w:sz="4" w:space="0"/>
              <w:left w:val="single" w:color="auto" w:sz="4" w:space="0"/>
              <w:bottom w:val="single" w:color="auto" w:sz="4" w:space="0"/>
              <w:right w:val="single" w:color="auto" w:sz="4" w:space="0"/>
            </w:tcBorders>
            <w:noWrap w:val="0"/>
            <w:vAlign w:val="top"/>
          </w:tcPr>
          <w:p w14:paraId="7E2E4EEF">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一键推送同门急诊药房追溯码管理。</w:t>
            </w:r>
          </w:p>
        </w:tc>
        <w:tc>
          <w:tcPr>
            <w:tcW w:w="775" w:type="dxa"/>
            <w:tcBorders>
              <w:top w:val="single" w:color="auto" w:sz="4" w:space="0"/>
              <w:left w:val="single" w:color="auto" w:sz="4" w:space="0"/>
              <w:bottom w:val="single" w:color="auto" w:sz="4" w:space="0"/>
              <w:right w:val="single" w:color="auto" w:sz="4" w:space="0"/>
            </w:tcBorders>
            <w:noWrap w:val="0"/>
            <w:vAlign w:val="top"/>
          </w:tcPr>
          <w:p w14:paraId="6BFC7A9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530B0EA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2708947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3BB4564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7E39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46" w:type="dxa"/>
            <w:vMerge w:val="continue"/>
            <w:tcBorders>
              <w:left w:val="single" w:color="auto" w:sz="4" w:space="0"/>
              <w:right w:val="single" w:color="auto" w:sz="4" w:space="0"/>
            </w:tcBorders>
            <w:noWrap w:val="0"/>
            <w:vAlign w:val="center"/>
          </w:tcPr>
          <w:p w14:paraId="0AAEC5B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restart"/>
            <w:tcBorders>
              <w:left w:val="single" w:color="auto" w:sz="4" w:space="0"/>
              <w:right w:val="single" w:color="auto" w:sz="4" w:space="0"/>
            </w:tcBorders>
            <w:noWrap w:val="0"/>
            <w:vAlign w:val="center"/>
          </w:tcPr>
          <w:p w14:paraId="0C1FE84E">
            <w:pPr>
              <w:spacing w:line="360" w:lineRule="auto"/>
              <w:rPr>
                <w:rFonts w:hint="eastAsia" w:ascii="仿宋" w:hAnsi="仿宋" w:eastAsia="仿宋" w:cstheme="minorBidi"/>
                <w:bCs/>
                <w:kern w:val="2"/>
                <w:sz w:val="21"/>
                <w:szCs w:val="21"/>
                <w:lang w:val="en-US" w:eastAsia="zh-CN" w:bidi="ar-SA"/>
              </w:rPr>
            </w:pPr>
            <w:bookmarkStart w:id="12" w:name="_Toc193794709"/>
            <w:r>
              <w:rPr>
                <w:rFonts w:hint="eastAsia" w:ascii="仿宋" w:hAnsi="仿宋" w:eastAsia="仿宋" w:cstheme="minorBidi"/>
                <w:bCs/>
                <w:kern w:val="2"/>
                <w:sz w:val="21"/>
                <w:szCs w:val="21"/>
                <w:lang w:val="en-US" w:eastAsia="zh-CN" w:bidi="ar-SA"/>
              </w:rPr>
              <w:t>出院带药追溯码管理</w:t>
            </w:r>
            <w:bookmarkEnd w:id="12"/>
          </w:p>
        </w:tc>
        <w:tc>
          <w:tcPr>
            <w:tcW w:w="4190" w:type="dxa"/>
            <w:tcBorders>
              <w:top w:val="single" w:color="auto" w:sz="4" w:space="0"/>
              <w:left w:val="single" w:color="auto" w:sz="4" w:space="0"/>
              <w:bottom w:val="single" w:color="auto" w:sz="4" w:space="0"/>
              <w:right w:val="single" w:color="auto" w:sz="4" w:space="0"/>
            </w:tcBorders>
            <w:noWrap w:val="0"/>
            <w:vAlign w:val="center"/>
          </w:tcPr>
          <w:p w14:paraId="6E0185AB">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系统能够对患者出院带药进行追溯码有效管理。</w:t>
            </w:r>
          </w:p>
        </w:tc>
        <w:tc>
          <w:tcPr>
            <w:tcW w:w="775" w:type="dxa"/>
            <w:vMerge w:val="restart"/>
            <w:tcBorders>
              <w:top w:val="single" w:color="auto" w:sz="4" w:space="0"/>
              <w:left w:val="single" w:color="auto" w:sz="4" w:space="0"/>
              <w:right w:val="single" w:color="auto" w:sz="4" w:space="0"/>
            </w:tcBorders>
            <w:noWrap w:val="0"/>
            <w:vAlign w:val="top"/>
          </w:tcPr>
          <w:p w14:paraId="306B9CA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vMerge w:val="restart"/>
            <w:tcBorders>
              <w:left w:val="single" w:color="auto" w:sz="4" w:space="0"/>
              <w:right w:val="single" w:color="auto" w:sz="4" w:space="0"/>
            </w:tcBorders>
            <w:noWrap w:val="0"/>
            <w:vAlign w:val="center"/>
          </w:tcPr>
          <w:p w14:paraId="7A2255E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vMerge w:val="restart"/>
            <w:tcBorders>
              <w:left w:val="single" w:color="auto" w:sz="4" w:space="0"/>
              <w:right w:val="single" w:color="auto" w:sz="4" w:space="0"/>
            </w:tcBorders>
            <w:noWrap w:val="0"/>
            <w:vAlign w:val="center"/>
          </w:tcPr>
          <w:p w14:paraId="395A5BF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vMerge w:val="restart"/>
            <w:tcBorders>
              <w:left w:val="single" w:color="auto" w:sz="4" w:space="0"/>
              <w:right w:val="single" w:color="auto" w:sz="4" w:space="0"/>
            </w:tcBorders>
            <w:noWrap w:val="0"/>
            <w:vAlign w:val="top"/>
          </w:tcPr>
          <w:p w14:paraId="12E889B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3B87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46" w:type="dxa"/>
            <w:vMerge w:val="continue"/>
            <w:tcBorders>
              <w:left w:val="single" w:color="auto" w:sz="4" w:space="0"/>
              <w:right w:val="single" w:color="auto" w:sz="4" w:space="0"/>
            </w:tcBorders>
            <w:noWrap w:val="0"/>
            <w:vAlign w:val="center"/>
          </w:tcPr>
          <w:p w14:paraId="5FBF3226">
            <w:pPr>
              <w:spacing w:line="360" w:lineRule="auto"/>
            </w:pPr>
          </w:p>
        </w:tc>
        <w:tc>
          <w:tcPr>
            <w:tcW w:w="1157" w:type="dxa"/>
            <w:vMerge w:val="continue"/>
            <w:tcBorders>
              <w:left w:val="single" w:color="auto" w:sz="4" w:space="0"/>
              <w:right w:val="single" w:color="auto" w:sz="4" w:space="0"/>
            </w:tcBorders>
            <w:noWrap w:val="0"/>
            <w:vAlign w:val="center"/>
          </w:tcPr>
          <w:p w14:paraId="1B950EE6">
            <w:pPr>
              <w:spacing w:line="360" w:lineRule="auto"/>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5F5839E0">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出院带药的追溯码采集、发药信息核验、智能预警提示、一键推送等功能需求同药库入库追溯码管理系统。</w:t>
            </w:r>
          </w:p>
        </w:tc>
        <w:tc>
          <w:tcPr>
            <w:tcW w:w="775" w:type="dxa"/>
            <w:vMerge w:val="continue"/>
            <w:tcBorders>
              <w:left w:val="single" w:color="auto" w:sz="4" w:space="0"/>
              <w:bottom w:val="single" w:color="auto" w:sz="4" w:space="0"/>
              <w:right w:val="single" w:color="auto" w:sz="4" w:space="0"/>
            </w:tcBorders>
            <w:noWrap w:val="0"/>
            <w:vAlign w:val="top"/>
          </w:tcPr>
          <w:p w14:paraId="627DCB33">
            <w:pPr>
              <w:spacing w:line="360" w:lineRule="auto"/>
              <w:rPr>
                <w:rFonts w:hint="eastAsia" w:ascii="仿宋" w:hAnsi="仿宋" w:eastAsia="仿宋" w:cstheme="minorBidi"/>
                <w:bCs/>
                <w:kern w:val="2"/>
                <w:sz w:val="21"/>
                <w:szCs w:val="21"/>
                <w:lang w:val="en-US" w:eastAsia="zh-CN" w:bidi="ar-SA"/>
              </w:rPr>
            </w:pPr>
          </w:p>
        </w:tc>
        <w:tc>
          <w:tcPr>
            <w:tcW w:w="848" w:type="dxa"/>
            <w:vMerge w:val="continue"/>
            <w:tcBorders>
              <w:left w:val="single" w:color="auto" w:sz="4" w:space="0"/>
              <w:right w:val="single" w:color="auto" w:sz="4" w:space="0"/>
            </w:tcBorders>
            <w:noWrap w:val="0"/>
            <w:vAlign w:val="center"/>
          </w:tcPr>
          <w:p w14:paraId="3C478C69">
            <w:pPr>
              <w:spacing w:line="360" w:lineRule="auto"/>
              <w:rPr>
                <w:rFonts w:hint="eastAsia" w:ascii="仿宋" w:hAnsi="仿宋" w:eastAsia="仿宋" w:cstheme="minorBidi"/>
                <w:bCs/>
                <w:kern w:val="2"/>
                <w:sz w:val="21"/>
                <w:szCs w:val="21"/>
                <w:lang w:val="en-US" w:eastAsia="zh-CN" w:bidi="ar-SA"/>
              </w:rPr>
            </w:pPr>
          </w:p>
        </w:tc>
        <w:tc>
          <w:tcPr>
            <w:tcW w:w="1016" w:type="dxa"/>
            <w:vMerge w:val="continue"/>
            <w:tcBorders>
              <w:left w:val="single" w:color="auto" w:sz="4" w:space="0"/>
              <w:right w:val="single" w:color="auto" w:sz="4" w:space="0"/>
            </w:tcBorders>
            <w:noWrap w:val="0"/>
            <w:vAlign w:val="center"/>
          </w:tcPr>
          <w:p w14:paraId="251B6819">
            <w:pPr>
              <w:spacing w:line="360" w:lineRule="auto"/>
              <w:rPr>
                <w:rFonts w:hint="eastAsia" w:ascii="仿宋" w:hAnsi="仿宋" w:eastAsia="仿宋" w:cstheme="minorBidi"/>
                <w:bCs/>
                <w:kern w:val="2"/>
                <w:sz w:val="21"/>
                <w:szCs w:val="21"/>
                <w:lang w:val="en-US" w:eastAsia="zh-CN" w:bidi="ar-SA"/>
              </w:rPr>
            </w:pPr>
          </w:p>
        </w:tc>
        <w:tc>
          <w:tcPr>
            <w:tcW w:w="1020" w:type="dxa"/>
            <w:vMerge w:val="continue"/>
            <w:tcBorders>
              <w:left w:val="single" w:color="auto" w:sz="4" w:space="0"/>
              <w:right w:val="single" w:color="auto" w:sz="4" w:space="0"/>
            </w:tcBorders>
            <w:noWrap w:val="0"/>
            <w:vAlign w:val="top"/>
          </w:tcPr>
          <w:p w14:paraId="189E686B">
            <w:pPr>
              <w:spacing w:line="360" w:lineRule="auto"/>
              <w:rPr>
                <w:rFonts w:hint="eastAsia" w:ascii="仿宋" w:hAnsi="仿宋" w:eastAsia="仿宋" w:cstheme="minorBidi"/>
                <w:bCs/>
                <w:kern w:val="2"/>
                <w:sz w:val="21"/>
                <w:szCs w:val="21"/>
                <w:lang w:val="en-US" w:eastAsia="zh-CN" w:bidi="ar-SA"/>
              </w:rPr>
            </w:pPr>
          </w:p>
        </w:tc>
      </w:tr>
      <w:tr w14:paraId="74FA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restart"/>
            <w:tcBorders>
              <w:left w:val="single" w:color="auto" w:sz="4" w:space="0"/>
              <w:right w:val="single" w:color="auto" w:sz="4" w:space="0"/>
            </w:tcBorders>
            <w:noWrap w:val="0"/>
            <w:vAlign w:val="center"/>
          </w:tcPr>
          <w:p w14:paraId="31B2F41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bookmarkStart w:id="13" w:name="_Toc193794721"/>
            <w:r>
              <w:rPr>
                <w:rFonts w:hint="eastAsia" w:ascii="仿宋" w:hAnsi="仿宋" w:eastAsia="仿宋" w:cstheme="minorBidi"/>
                <w:bCs/>
                <w:kern w:val="2"/>
                <w:sz w:val="21"/>
                <w:szCs w:val="21"/>
                <w:lang w:val="en-US" w:eastAsia="zh-CN" w:bidi="ar-SA"/>
              </w:rPr>
              <w:t>静配中心追溯码管理</w:t>
            </w:r>
            <w:bookmarkEnd w:id="13"/>
          </w:p>
        </w:tc>
        <w:tc>
          <w:tcPr>
            <w:tcW w:w="1157" w:type="dxa"/>
            <w:tcBorders>
              <w:left w:val="single" w:color="auto" w:sz="4" w:space="0"/>
              <w:right w:val="single" w:color="auto" w:sz="4" w:space="0"/>
            </w:tcBorders>
            <w:noWrap w:val="0"/>
            <w:vAlign w:val="center"/>
          </w:tcPr>
          <w:p w14:paraId="62598258">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拆零库设置</w:t>
            </w:r>
          </w:p>
        </w:tc>
        <w:tc>
          <w:tcPr>
            <w:tcW w:w="4190" w:type="dxa"/>
            <w:tcBorders>
              <w:top w:val="single" w:color="auto" w:sz="4" w:space="0"/>
              <w:left w:val="single" w:color="auto" w:sz="4" w:space="0"/>
              <w:bottom w:val="single" w:color="auto" w:sz="4" w:space="0"/>
              <w:right w:val="single" w:color="auto" w:sz="4" w:space="0"/>
            </w:tcBorders>
            <w:noWrap w:val="0"/>
            <w:vAlign w:val="top"/>
          </w:tcPr>
          <w:p w14:paraId="7192E14E">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支持多维度拆零库设置，自动将整盒药品的追溯码信息拆分成最小单位的追溯码。完成药品赋码流程后，自动将药品的相关信息推送给 HIS 系统，实现信息的及时更新与同步。</w:t>
            </w:r>
          </w:p>
        </w:tc>
        <w:tc>
          <w:tcPr>
            <w:tcW w:w="775" w:type="dxa"/>
            <w:tcBorders>
              <w:top w:val="single" w:color="auto" w:sz="4" w:space="0"/>
              <w:left w:val="single" w:color="auto" w:sz="4" w:space="0"/>
              <w:bottom w:val="single" w:color="auto" w:sz="4" w:space="0"/>
              <w:right w:val="single" w:color="auto" w:sz="4" w:space="0"/>
            </w:tcBorders>
            <w:noWrap w:val="0"/>
            <w:vAlign w:val="top"/>
          </w:tcPr>
          <w:p w14:paraId="5A6D33F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6680976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13278E2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4BD3151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075A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4EED6F6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tcBorders>
              <w:left w:val="single" w:color="auto" w:sz="4" w:space="0"/>
              <w:right w:val="single" w:color="auto" w:sz="4" w:space="0"/>
            </w:tcBorders>
            <w:noWrap w:val="0"/>
            <w:vAlign w:val="center"/>
          </w:tcPr>
          <w:p w14:paraId="1A8C161E">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拆零库追溯码采集</w:t>
            </w:r>
          </w:p>
        </w:tc>
        <w:tc>
          <w:tcPr>
            <w:tcW w:w="4190" w:type="dxa"/>
            <w:tcBorders>
              <w:top w:val="single" w:color="auto" w:sz="4" w:space="0"/>
              <w:left w:val="single" w:color="auto" w:sz="4" w:space="0"/>
              <w:bottom w:val="single" w:color="auto" w:sz="4" w:space="0"/>
              <w:right w:val="single" w:color="auto" w:sz="4" w:space="0"/>
            </w:tcBorders>
            <w:noWrap w:val="0"/>
            <w:vAlign w:val="top"/>
          </w:tcPr>
          <w:p w14:paraId="3FED9BC7">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拆零库追溯码采集同住院药房追溯码管理。</w:t>
            </w:r>
          </w:p>
        </w:tc>
        <w:tc>
          <w:tcPr>
            <w:tcW w:w="775" w:type="dxa"/>
            <w:tcBorders>
              <w:top w:val="single" w:color="auto" w:sz="4" w:space="0"/>
              <w:left w:val="single" w:color="auto" w:sz="4" w:space="0"/>
              <w:bottom w:val="single" w:color="auto" w:sz="4" w:space="0"/>
              <w:right w:val="single" w:color="auto" w:sz="4" w:space="0"/>
            </w:tcBorders>
            <w:noWrap w:val="0"/>
            <w:vAlign w:val="top"/>
          </w:tcPr>
          <w:p w14:paraId="00D1C24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517C9D7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55CAA82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55BBCEE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16EF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1D5230C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restart"/>
            <w:tcBorders>
              <w:left w:val="single" w:color="auto" w:sz="4" w:space="0"/>
              <w:right w:val="single" w:color="auto" w:sz="4" w:space="0"/>
            </w:tcBorders>
            <w:noWrap w:val="0"/>
            <w:vAlign w:val="center"/>
          </w:tcPr>
          <w:p w14:paraId="1E6C9DDC">
            <w:pPr>
              <w:spacing w:line="360" w:lineRule="auto"/>
              <w:rPr>
                <w:rFonts w:hint="eastAsia" w:ascii="仿宋" w:hAnsi="仿宋" w:eastAsia="仿宋" w:cstheme="minorBidi"/>
                <w:bCs/>
                <w:kern w:val="2"/>
                <w:sz w:val="21"/>
                <w:szCs w:val="21"/>
                <w:lang w:val="en-US" w:eastAsia="zh-CN" w:bidi="ar-SA"/>
              </w:rPr>
            </w:pPr>
            <w:bookmarkStart w:id="14" w:name="_Toc193794725"/>
            <w:r>
              <w:rPr>
                <w:rFonts w:hint="eastAsia" w:ascii="仿宋" w:hAnsi="仿宋" w:eastAsia="仿宋" w:cstheme="minorBidi"/>
                <w:bCs/>
                <w:kern w:val="2"/>
                <w:sz w:val="21"/>
                <w:szCs w:val="21"/>
                <w:lang w:val="en-US" w:eastAsia="zh-CN" w:bidi="ar-SA"/>
              </w:rPr>
              <w:t>追溯码匹配</w:t>
            </w:r>
            <w:bookmarkEnd w:id="14"/>
          </w:p>
        </w:tc>
        <w:tc>
          <w:tcPr>
            <w:tcW w:w="4190" w:type="dxa"/>
            <w:tcBorders>
              <w:top w:val="single" w:color="auto" w:sz="4" w:space="0"/>
              <w:left w:val="single" w:color="auto" w:sz="4" w:space="0"/>
              <w:bottom w:val="single" w:color="auto" w:sz="4" w:space="0"/>
              <w:right w:val="single" w:color="auto" w:sz="4" w:space="0"/>
            </w:tcBorders>
            <w:noWrap w:val="0"/>
            <w:vAlign w:val="center"/>
          </w:tcPr>
          <w:p w14:paraId="191F6356">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在药品收费流程完成后，系统自动为这些药品赋予唯一的追溯码，确保药品的流通和使用环节全程可追溯。</w:t>
            </w:r>
          </w:p>
        </w:tc>
        <w:tc>
          <w:tcPr>
            <w:tcW w:w="775" w:type="dxa"/>
            <w:tcBorders>
              <w:top w:val="single" w:color="auto" w:sz="4" w:space="0"/>
              <w:left w:val="single" w:color="auto" w:sz="4" w:space="0"/>
              <w:bottom w:val="single" w:color="auto" w:sz="4" w:space="0"/>
              <w:right w:val="single" w:color="auto" w:sz="4" w:space="0"/>
            </w:tcBorders>
            <w:noWrap w:val="0"/>
            <w:vAlign w:val="top"/>
          </w:tcPr>
          <w:p w14:paraId="7ACC62B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1B4D748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45801A0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38673DC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0444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770EEE4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1FB569A4">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7AC70CB5">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系统需支持将药品追溯码跟瓶签进行绑定，通过系统自动为瓶签匹配拆零库中的追溯码。</w:t>
            </w:r>
          </w:p>
        </w:tc>
        <w:tc>
          <w:tcPr>
            <w:tcW w:w="775" w:type="dxa"/>
            <w:tcBorders>
              <w:top w:val="single" w:color="auto" w:sz="4" w:space="0"/>
              <w:left w:val="single" w:color="auto" w:sz="4" w:space="0"/>
              <w:bottom w:val="single" w:color="auto" w:sz="4" w:space="0"/>
              <w:right w:val="single" w:color="auto" w:sz="4" w:space="0"/>
            </w:tcBorders>
            <w:noWrap w:val="0"/>
            <w:vAlign w:val="top"/>
          </w:tcPr>
          <w:p w14:paraId="5B63DA5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3B9A361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2702AAD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694DC36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6AAB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59C0530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7944E952">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628127BB">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关于静配中心的追溯码采集、发药信息核验、智能预警提示、一键推送等功能需求同住院药房追溯码管理系统。</w:t>
            </w:r>
          </w:p>
        </w:tc>
        <w:tc>
          <w:tcPr>
            <w:tcW w:w="775" w:type="dxa"/>
            <w:tcBorders>
              <w:top w:val="single" w:color="auto" w:sz="4" w:space="0"/>
              <w:left w:val="single" w:color="auto" w:sz="4" w:space="0"/>
              <w:bottom w:val="single" w:color="auto" w:sz="4" w:space="0"/>
              <w:right w:val="single" w:color="auto" w:sz="4" w:space="0"/>
            </w:tcBorders>
            <w:noWrap w:val="0"/>
            <w:vAlign w:val="top"/>
          </w:tcPr>
          <w:p w14:paraId="73A8630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60A5FD7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11BD379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4338741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79BB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restart"/>
            <w:tcBorders>
              <w:left w:val="single" w:color="auto" w:sz="4" w:space="0"/>
              <w:right w:val="single" w:color="auto" w:sz="4" w:space="0"/>
            </w:tcBorders>
            <w:noWrap w:val="0"/>
            <w:vAlign w:val="center"/>
          </w:tcPr>
          <w:p w14:paraId="779E0F7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bookmarkStart w:id="15" w:name="_Toc193794731"/>
            <w:r>
              <w:rPr>
                <w:rFonts w:hint="eastAsia" w:ascii="仿宋" w:hAnsi="仿宋" w:eastAsia="仿宋" w:cstheme="minorBidi"/>
                <w:bCs/>
                <w:kern w:val="2"/>
                <w:sz w:val="21"/>
                <w:szCs w:val="21"/>
                <w:lang w:val="en-US" w:eastAsia="zh-CN" w:bidi="ar-SA"/>
              </w:rPr>
              <w:t>三级库追溯码管理</w:t>
            </w:r>
            <w:bookmarkEnd w:id="15"/>
          </w:p>
        </w:tc>
        <w:tc>
          <w:tcPr>
            <w:tcW w:w="1157" w:type="dxa"/>
            <w:vMerge w:val="restart"/>
            <w:tcBorders>
              <w:left w:val="single" w:color="auto" w:sz="4" w:space="0"/>
              <w:right w:val="single" w:color="auto" w:sz="4" w:space="0"/>
            </w:tcBorders>
            <w:noWrap w:val="0"/>
            <w:vAlign w:val="center"/>
          </w:tcPr>
          <w:p w14:paraId="38587A4A">
            <w:pPr>
              <w:spacing w:line="360" w:lineRule="auto"/>
              <w:rPr>
                <w:rFonts w:hint="eastAsia" w:ascii="仿宋" w:hAnsi="仿宋" w:eastAsia="仿宋" w:cstheme="minorBidi"/>
                <w:bCs/>
                <w:kern w:val="2"/>
                <w:sz w:val="21"/>
                <w:szCs w:val="21"/>
                <w:lang w:val="en-US" w:eastAsia="zh-CN" w:bidi="ar-SA"/>
              </w:rPr>
            </w:pPr>
            <w:bookmarkStart w:id="16" w:name="_Toc193794732"/>
            <w:r>
              <w:rPr>
                <w:rFonts w:hint="eastAsia" w:ascii="仿宋" w:hAnsi="仿宋" w:eastAsia="仿宋" w:cstheme="minorBidi"/>
                <w:bCs/>
                <w:kern w:val="2"/>
                <w:sz w:val="21"/>
                <w:szCs w:val="21"/>
                <w:lang w:val="en-US" w:eastAsia="zh-CN" w:bidi="ar-SA"/>
              </w:rPr>
              <w:t>拆零库设置</w:t>
            </w:r>
            <w:bookmarkEnd w:id="16"/>
          </w:p>
        </w:tc>
        <w:tc>
          <w:tcPr>
            <w:tcW w:w="4190" w:type="dxa"/>
            <w:tcBorders>
              <w:top w:val="single" w:color="auto" w:sz="4" w:space="0"/>
              <w:left w:val="single" w:color="auto" w:sz="4" w:space="0"/>
              <w:bottom w:val="single" w:color="auto" w:sz="4" w:space="0"/>
              <w:right w:val="single" w:color="auto" w:sz="4" w:space="0"/>
            </w:tcBorders>
            <w:noWrap w:val="0"/>
            <w:vAlign w:val="center"/>
          </w:tcPr>
          <w:p w14:paraId="2ADC98BA">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系统需构建完善的药品拆零库功能模块，能够高效且精准地将成盒药品的唯一追溯码拆解为每个最小使用单位药品的独立追溯码，从而实现药品流通过程中的全程精准追踪，确保药品质量与安全的可追溯性。</w:t>
            </w:r>
          </w:p>
        </w:tc>
        <w:tc>
          <w:tcPr>
            <w:tcW w:w="775" w:type="dxa"/>
            <w:tcBorders>
              <w:top w:val="single" w:color="auto" w:sz="4" w:space="0"/>
              <w:left w:val="single" w:color="auto" w:sz="4" w:space="0"/>
              <w:bottom w:val="single" w:color="auto" w:sz="4" w:space="0"/>
              <w:right w:val="single" w:color="auto" w:sz="4" w:space="0"/>
            </w:tcBorders>
            <w:noWrap w:val="0"/>
            <w:vAlign w:val="top"/>
          </w:tcPr>
          <w:p w14:paraId="5E51A91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3C07969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1836419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0E6A78F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6083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33A0747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249AF294">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7DB57EDE">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拆零库设置功能：系统应支持药师根据实际需求，按照药房及药品的具体维度灵活进行拆零库的设置操作，满足不同药房、不同药品种类的个性化拆零管理要求。</w:t>
            </w:r>
          </w:p>
        </w:tc>
        <w:tc>
          <w:tcPr>
            <w:tcW w:w="775" w:type="dxa"/>
            <w:tcBorders>
              <w:top w:val="single" w:color="auto" w:sz="4" w:space="0"/>
              <w:left w:val="single" w:color="auto" w:sz="4" w:space="0"/>
              <w:bottom w:val="single" w:color="auto" w:sz="4" w:space="0"/>
              <w:right w:val="single" w:color="auto" w:sz="4" w:space="0"/>
            </w:tcBorders>
            <w:noWrap w:val="0"/>
            <w:vAlign w:val="top"/>
          </w:tcPr>
          <w:p w14:paraId="4B68188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176309F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1F5FD2B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7EF2152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1B80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681A628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tcBorders>
              <w:left w:val="single" w:color="auto" w:sz="4" w:space="0"/>
              <w:right w:val="single" w:color="auto" w:sz="4" w:space="0"/>
            </w:tcBorders>
            <w:noWrap w:val="0"/>
            <w:vAlign w:val="center"/>
          </w:tcPr>
          <w:p w14:paraId="0B60143E">
            <w:pPr>
              <w:spacing w:line="360" w:lineRule="auto"/>
              <w:rPr>
                <w:rFonts w:hint="eastAsia" w:ascii="仿宋" w:hAnsi="仿宋" w:eastAsia="仿宋" w:cstheme="minorBidi"/>
                <w:bCs/>
                <w:kern w:val="2"/>
                <w:sz w:val="21"/>
                <w:szCs w:val="21"/>
                <w:lang w:val="en-US" w:eastAsia="zh-CN" w:bidi="ar-SA"/>
              </w:rPr>
            </w:pPr>
            <w:bookmarkStart w:id="17" w:name="_Toc193794733"/>
            <w:r>
              <w:rPr>
                <w:rFonts w:hint="eastAsia" w:ascii="仿宋" w:hAnsi="仿宋" w:eastAsia="仿宋" w:cstheme="minorBidi"/>
                <w:bCs/>
                <w:kern w:val="2"/>
                <w:sz w:val="21"/>
                <w:szCs w:val="21"/>
                <w:lang w:val="en-US" w:eastAsia="zh-CN" w:bidi="ar-SA"/>
              </w:rPr>
              <w:t>拆零库追溯码采集</w:t>
            </w:r>
            <w:bookmarkEnd w:id="17"/>
          </w:p>
        </w:tc>
        <w:tc>
          <w:tcPr>
            <w:tcW w:w="4190" w:type="dxa"/>
            <w:tcBorders>
              <w:top w:val="single" w:color="auto" w:sz="4" w:space="0"/>
              <w:left w:val="single" w:color="auto" w:sz="4" w:space="0"/>
              <w:bottom w:val="single" w:color="auto" w:sz="4" w:space="0"/>
              <w:right w:val="single" w:color="auto" w:sz="4" w:space="0"/>
            </w:tcBorders>
            <w:noWrap w:val="0"/>
            <w:vAlign w:val="center"/>
          </w:tcPr>
          <w:p w14:paraId="7987E1D6">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系统需支持在药房向科室配送药品之前，药师使用PDA或高拍仪扫描药品包装上的追溯码，自动读取并存储信息。</w:t>
            </w:r>
          </w:p>
        </w:tc>
        <w:tc>
          <w:tcPr>
            <w:tcW w:w="775" w:type="dxa"/>
            <w:tcBorders>
              <w:top w:val="single" w:color="auto" w:sz="4" w:space="0"/>
              <w:left w:val="single" w:color="auto" w:sz="4" w:space="0"/>
              <w:bottom w:val="single" w:color="auto" w:sz="4" w:space="0"/>
              <w:right w:val="single" w:color="auto" w:sz="4" w:space="0"/>
            </w:tcBorders>
            <w:noWrap w:val="0"/>
            <w:vAlign w:val="top"/>
          </w:tcPr>
          <w:p w14:paraId="364631B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6E60052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2FA8D2B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507F0A8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5098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2611D48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tcBorders>
              <w:left w:val="single" w:color="auto" w:sz="4" w:space="0"/>
              <w:right w:val="single" w:color="auto" w:sz="4" w:space="0"/>
            </w:tcBorders>
            <w:noWrap w:val="0"/>
            <w:vAlign w:val="center"/>
          </w:tcPr>
          <w:p w14:paraId="372E5C33">
            <w:pPr>
              <w:spacing w:line="360" w:lineRule="auto"/>
              <w:rPr>
                <w:rFonts w:hint="eastAsia" w:ascii="仿宋" w:hAnsi="仿宋" w:eastAsia="仿宋" w:cstheme="minorBidi"/>
                <w:bCs/>
                <w:kern w:val="2"/>
                <w:sz w:val="21"/>
                <w:szCs w:val="21"/>
                <w:lang w:val="en-US" w:eastAsia="zh-CN" w:bidi="ar-SA"/>
              </w:rPr>
            </w:pPr>
            <w:bookmarkStart w:id="18" w:name="_Toc193794736"/>
            <w:r>
              <w:rPr>
                <w:rFonts w:hint="eastAsia" w:ascii="仿宋" w:hAnsi="仿宋" w:eastAsia="仿宋" w:cstheme="minorBidi"/>
                <w:bCs/>
                <w:kern w:val="2"/>
                <w:sz w:val="21"/>
                <w:szCs w:val="21"/>
                <w:lang w:val="en-US" w:eastAsia="zh-CN" w:bidi="ar-SA"/>
              </w:rPr>
              <w:t>追溯码匹配</w:t>
            </w:r>
            <w:bookmarkEnd w:id="18"/>
          </w:p>
        </w:tc>
        <w:tc>
          <w:tcPr>
            <w:tcW w:w="4190" w:type="dxa"/>
            <w:tcBorders>
              <w:top w:val="single" w:color="auto" w:sz="4" w:space="0"/>
              <w:left w:val="single" w:color="auto" w:sz="4" w:space="0"/>
              <w:bottom w:val="single" w:color="auto" w:sz="4" w:space="0"/>
              <w:right w:val="single" w:color="auto" w:sz="4" w:space="0"/>
            </w:tcBorders>
            <w:noWrap w:val="0"/>
            <w:vAlign w:val="center"/>
          </w:tcPr>
          <w:p w14:paraId="0A6260BE">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当医生开具三级库药品的医嘱后，系统需支持将药品追溯码跟医嘱信息进行绑定，通过系统自动为绑定后的医嘱信息进行追溯码匹配。</w:t>
            </w:r>
          </w:p>
        </w:tc>
        <w:tc>
          <w:tcPr>
            <w:tcW w:w="775" w:type="dxa"/>
            <w:tcBorders>
              <w:top w:val="single" w:color="auto" w:sz="4" w:space="0"/>
              <w:left w:val="single" w:color="auto" w:sz="4" w:space="0"/>
              <w:bottom w:val="single" w:color="auto" w:sz="4" w:space="0"/>
              <w:right w:val="single" w:color="auto" w:sz="4" w:space="0"/>
            </w:tcBorders>
            <w:noWrap w:val="0"/>
            <w:vAlign w:val="top"/>
          </w:tcPr>
          <w:p w14:paraId="24C4FB3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2AE3DF6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7F68582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4451118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71CD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restart"/>
            <w:tcBorders>
              <w:left w:val="single" w:color="auto" w:sz="4" w:space="0"/>
              <w:right w:val="single" w:color="auto" w:sz="4" w:space="0"/>
            </w:tcBorders>
            <w:noWrap w:val="0"/>
            <w:vAlign w:val="center"/>
          </w:tcPr>
          <w:p w14:paraId="292C505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外配药品、外借药品、义诊药品、抽检药品、科室备用药品、非联网出库药品、报损药品追溯码管理</w:t>
            </w:r>
          </w:p>
        </w:tc>
        <w:tc>
          <w:tcPr>
            <w:tcW w:w="1157" w:type="dxa"/>
            <w:vMerge w:val="restart"/>
            <w:tcBorders>
              <w:left w:val="single" w:color="auto" w:sz="4" w:space="0"/>
              <w:right w:val="single" w:color="auto" w:sz="4" w:space="0"/>
            </w:tcBorders>
            <w:noWrap w:val="0"/>
            <w:vAlign w:val="center"/>
          </w:tcPr>
          <w:p w14:paraId="166A17D4">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47B38B0B">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医院对患者委托配送商进行药品外配上门服务，如透析液，由配送企业直接配送上门，系统能提供外配药的追溯码采集上传方案。</w:t>
            </w:r>
          </w:p>
        </w:tc>
        <w:tc>
          <w:tcPr>
            <w:tcW w:w="775" w:type="dxa"/>
            <w:tcBorders>
              <w:top w:val="single" w:color="auto" w:sz="4" w:space="0"/>
              <w:left w:val="single" w:color="auto" w:sz="4" w:space="0"/>
              <w:bottom w:val="single" w:color="auto" w:sz="4" w:space="0"/>
              <w:right w:val="single" w:color="auto" w:sz="4" w:space="0"/>
            </w:tcBorders>
            <w:noWrap w:val="0"/>
            <w:vAlign w:val="top"/>
          </w:tcPr>
          <w:p w14:paraId="5249D27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08464D5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3E5FAC8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05A6B47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558A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5B6208E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0FF446AE">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427CD5A6">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提供外借药品的追溯码采集上传解决方案。</w:t>
            </w:r>
          </w:p>
        </w:tc>
        <w:tc>
          <w:tcPr>
            <w:tcW w:w="775" w:type="dxa"/>
            <w:tcBorders>
              <w:top w:val="single" w:color="auto" w:sz="4" w:space="0"/>
              <w:left w:val="single" w:color="auto" w:sz="4" w:space="0"/>
              <w:bottom w:val="single" w:color="auto" w:sz="4" w:space="0"/>
              <w:right w:val="single" w:color="auto" w:sz="4" w:space="0"/>
            </w:tcBorders>
            <w:noWrap w:val="0"/>
            <w:vAlign w:val="top"/>
          </w:tcPr>
          <w:p w14:paraId="2CAFD57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2C7E65C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2BD36F8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1C05FDE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3936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3A75F63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5DC68F70">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3888820D">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提供义诊药品的追溯码采集上传解决方案。</w:t>
            </w:r>
          </w:p>
        </w:tc>
        <w:tc>
          <w:tcPr>
            <w:tcW w:w="775" w:type="dxa"/>
            <w:tcBorders>
              <w:top w:val="single" w:color="auto" w:sz="4" w:space="0"/>
              <w:left w:val="single" w:color="auto" w:sz="4" w:space="0"/>
              <w:bottom w:val="single" w:color="auto" w:sz="4" w:space="0"/>
              <w:right w:val="single" w:color="auto" w:sz="4" w:space="0"/>
            </w:tcBorders>
            <w:noWrap w:val="0"/>
            <w:vAlign w:val="top"/>
          </w:tcPr>
          <w:p w14:paraId="09D5774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4291C20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273B4D2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3DFAA48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0698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7CF2561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78937119">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01980C17">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提供抽检药品的追溯码采集上传解决方案。</w:t>
            </w:r>
          </w:p>
        </w:tc>
        <w:tc>
          <w:tcPr>
            <w:tcW w:w="775" w:type="dxa"/>
            <w:tcBorders>
              <w:top w:val="single" w:color="auto" w:sz="4" w:space="0"/>
              <w:left w:val="single" w:color="auto" w:sz="4" w:space="0"/>
              <w:bottom w:val="single" w:color="auto" w:sz="4" w:space="0"/>
              <w:right w:val="single" w:color="auto" w:sz="4" w:space="0"/>
            </w:tcBorders>
            <w:noWrap w:val="0"/>
            <w:vAlign w:val="top"/>
          </w:tcPr>
          <w:p w14:paraId="1BE4D7E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733CAE8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5CD1F16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2624B9E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7304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79DFCAE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51AD82F4">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2C4AD2EA">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提供科室备用药品追溯码采集上传解决方案。</w:t>
            </w:r>
          </w:p>
        </w:tc>
        <w:tc>
          <w:tcPr>
            <w:tcW w:w="775" w:type="dxa"/>
            <w:tcBorders>
              <w:top w:val="single" w:color="auto" w:sz="4" w:space="0"/>
              <w:left w:val="single" w:color="auto" w:sz="4" w:space="0"/>
              <w:bottom w:val="single" w:color="auto" w:sz="4" w:space="0"/>
              <w:right w:val="single" w:color="auto" w:sz="4" w:space="0"/>
            </w:tcBorders>
            <w:noWrap w:val="0"/>
            <w:vAlign w:val="top"/>
          </w:tcPr>
          <w:p w14:paraId="5743845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6CB7B57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06335CA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084DA9D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38F7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2CBEDBB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1449E131">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7DBC1A39">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提供非联网出库药品追溯码采集上传解决方案。</w:t>
            </w:r>
          </w:p>
        </w:tc>
        <w:tc>
          <w:tcPr>
            <w:tcW w:w="775" w:type="dxa"/>
            <w:tcBorders>
              <w:top w:val="single" w:color="auto" w:sz="4" w:space="0"/>
              <w:left w:val="single" w:color="auto" w:sz="4" w:space="0"/>
              <w:bottom w:val="single" w:color="auto" w:sz="4" w:space="0"/>
              <w:right w:val="single" w:color="auto" w:sz="4" w:space="0"/>
            </w:tcBorders>
            <w:noWrap w:val="0"/>
            <w:vAlign w:val="top"/>
          </w:tcPr>
          <w:p w14:paraId="7B2CE92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7935B82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1367F3A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6189A23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B16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6908F3E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55803E6A">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62A7E4C5">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提供报损药品追溯码管理解决方案。</w:t>
            </w:r>
          </w:p>
        </w:tc>
        <w:tc>
          <w:tcPr>
            <w:tcW w:w="775" w:type="dxa"/>
            <w:tcBorders>
              <w:top w:val="single" w:color="auto" w:sz="4" w:space="0"/>
              <w:left w:val="single" w:color="auto" w:sz="4" w:space="0"/>
              <w:bottom w:val="single" w:color="auto" w:sz="4" w:space="0"/>
              <w:right w:val="single" w:color="auto" w:sz="4" w:space="0"/>
            </w:tcBorders>
            <w:noWrap w:val="0"/>
            <w:vAlign w:val="top"/>
          </w:tcPr>
          <w:p w14:paraId="7271CF1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29ABFD4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4363ECD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794C1D3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3B07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restart"/>
            <w:tcBorders>
              <w:left w:val="single" w:color="auto" w:sz="4" w:space="0"/>
              <w:right w:val="single" w:color="auto" w:sz="4" w:space="0"/>
            </w:tcBorders>
            <w:noWrap w:val="0"/>
            <w:vAlign w:val="center"/>
          </w:tcPr>
          <w:p w14:paraId="362B25A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无追溯码药品管理</w:t>
            </w:r>
          </w:p>
        </w:tc>
        <w:tc>
          <w:tcPr>
            <w:tcW w:w="1157" w:type="dxa"/>
            <w:vMerge w:val="restart"/>
            <w:tcBorders>
              <w:left w:val="single" w:color="auto" w:sz="4" w:space="0"/>
              <w:right w:val="single" w:color="auto" w:sz="4" w:space="0"/>
            </w:tcBorders>
            <w:noWrap w:val="0"/>
            <w:vAlign w:val="center"/>
          </w:tcPr>
          <w:p w14:paraId="2B344BD9">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248F0862">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若药品无追溯码，支持在药品字典中新增无需追溯标识。</w:t>
            </w:r>
          </w:p>
        </w:tc>
        <w:tc>
          <w:tcPr>
            <w:tcW w:w="775" w:type="dxa"/>
            <w:tcBorders>
              <w:top w:val="single" w:color="auto" w:sz="4" w:space="0"/>
              <w:left w:val="single" w:color="auto" w:sz="4" w:space="0"/>
              <w:bottom w:val="single" w:color="auto" w:sz="4" w:space="0"/>
              <w:right w:val="single" w:color="auto" w:sz="4" w:space="0"/>
            </w:tcBorders>
            <w:noWrap w:val="0"/>
            <w:vAlign w:val="top"/>
          </w:tcPr>
          <w:p w14:paraId="666E3CF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1BC087F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3E124B4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4FE12DA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02F0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31C39DB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52A9B269">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76D71A2F">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若设置为无需追溯药品，则该药品即可支持无追溯码自动核发，并上传该药品追溯码信息至医保系统，确保上传率不受影响。</w:t>
            </w:r>
          </w:p>
        </w:tc>
        <w:tc>
          <w:tcPr>
            <w:tcW w:w="775" w:type="dxa"/>
            <w:tcBorders>
              <w:top w:val="single" w:color="auto" w:sz="4" w:space="0"/>
              <w:left w:val="single" w:color="auto" w:sz="4" w:space="0"/>
              <w:bottom w:val="single" w:color="auto" w:sz="4" w:space="0"/>
              <w:right w:val="single" w:color="auto" w:sz="4" w:space="0"/>
            </w:tcBorders>
            <w:noWrap w:val="0"/>
            <w:vAlign w:val="top"/>
          </w:tcPr>
          <w:p w14:paraId="57AE4D3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37FD68E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6366D88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55C3BEA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0F5B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restart"/>
            <w:tcBorders>
              <w:left w:val="single" w:color="auto" w:sz="4" w:space="0"/>
              <w:right w:val="single" w:color="auto" w:sz="4" w:space="0"/>
            </w:tcBorders>
            <w:noWrap w:val="0"/>
            <w:vAlign w:val="center"/>
          </w:tcPr>
          <w:p w14:paraId="634CE33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退药追溯码管理</w:t>
            </w:r>
          </w:p>
        </w:tc>
        <w:tc>
          <w:tcPr>
            <w:tcW w:w="1157" w:type="dxa"/>
            <w:vMerge w:val="restart"/>
            <w:tcBorders>
              <w:left w:val="single" w:color="auto" w:sz="4" w:space="0"/>
              <w:right w:val="single" w:color="auto" w:sz="4" w:space="0"/>
            </w:tcBorders>
            <w:noWrap w:val="0"/>
            <w:vAlign w:val="center"/>
          </w:tcPr>
          <w:p w14:paraId="308819EF">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7E082D18">
            <w:pPr>
              <w:keepNext w:val="0"/>
              <w:keepLines w:val="0"/>
              <w:pageBreakBefore w:val="0"/>
              <w:kinsoku/>
              <w:wordWrap/>
              <w:overflowPunct/>
              <w:topLinePunct w:val="0"/>
              <w:autoSpaceDE/>
              <w:autoSpaceDN/>
              <w:bidi w:val="0"/>
              <w:spacing w:line="480" w:lineRule="exac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系统能够为门急诊、住院、静配各部门患者的退药进行追溯码管理。</w:t>
            </w:r>
          </w:p>
        </w:tc>
        <w:tc>
          <w:tcPr>
            <w:tcW w:w="775" w:type="dxa"/>
            <w:tcBorders>
              <w:top w:val="single" w:color="auto" w:sz="4" w:space="0"/>
              <w:left w:val="single" w:color="auto" w:sz="4" w:space="0"/>
              <w:bottom w:val="single" w:color="auto" w:sz="4" w:space="0"/>
              <w:right w:val="single" w:color="auto" w:sz="4" w:space="0"/>
            </w:tcBorders>
            <w:noWrap w:val="0"/>
            <w:vAlign w:val="top"/>
          </w:tcPr>
          <w:p w14:paraId="7F50E26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6A97513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704225A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5B6B6FF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5454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4837FA9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7C0C12D5">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5BE42F89">
            <w:pPr>
              <w:keepNext w:val="0"/>
              <w:keepLines w:val="0"/>
              <w:pageBreakBefore w:val="0"/>
              <w:kinsoku/>
              <w:wordWrap/>
              <w:overflowPunct/>
              <w:topLinePunct w:val="0"/>
              <w:autoSpaceDE/>
              <w:autoSpaceDN/>
              <w:bidi w:val="0"/>
              <w:spacing w:line="480" w:lineRule="exac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关于退药追溯码的采集、智能预警提醒、一键推送等功能需求同门急诊药房追溯码管理系统。</w:t>
            </w:r>
          </w:p>
        </w:tc>
        <w:tc>
          <w:tcPr>
            <w:tcW w:w="775" w:type="dxa"/>
            <w:tcBorders>
              <w:top w:val="single" w:color="auto" w:sz="4" w:space="0"/>
              <w:left w:val="single" w:color="auto" w:sz="4" w:space="0"/>
              <w:bottom w:val="single" w:color="auto" w:sz="4" w:space="0"/>
              <w:right w:val="single" w:color="auto" w:sz="4" w:space="0"/>
            </w:tcBorders>
            <w:noWrap w:val="0"/>
            <w:vAlign w:val="top"/>
          </w:tcPr>
          <w:p w14:paraId="6668DFE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5D0B3DB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334D598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02B645A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0BEF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restart"/>
            <w:tcBorders>
              <w:left w:val="single" w:color="auto" w:sz="4" w:space="0"/>
              <w:right w:val="single" w:color="auto" w:sz="4" w:space="0"/>
            </w:tcBorders>
            <w:noWrap w:val="0"/>
            <w:vAlign w:val="center"/>
          </w:tcPr>
          <w:p w14:paraId="43F61A8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报表管理</w:t>
            </w:r>
          </w:p>
        </w:tc>
        <w:tc>
          <w:tcPr>
            <w:tcW w:w="1157" w:type="dxa"/>
            <w:vMerge w:val="restart"/>
            <w:tcBorders>
              <w:left w:val="single" w:color="auto" w:sz="4" w:space="0"/>
              <w:right w:val="single" w:color="auto" w:sz="4" w:space="0"/>
            </w:tcBorders>
            <w:noWrap w:val="0"/>
            <w:vAlign w:val="center"/>
          </w:tcPr>
          <w:p w14:paraId="2F92405D">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7DE0297F">
            <w:pPr>
              <w:keepNext w:val="0"/>
              <w:keepLines w:val="0"/>
              <w:pageBreakBefore w:val="0"/>
              <w:kinsoku/>
              <w:wordWrap/>
              <w:overflowPunct/>
              <w:topLinePunct w:val="0"/>
              <w:autoSpaceDE/>
              <w:autoSpaceDN/>
              <w:bidi w:val="0"/>
              <w:spacing w:line="480" w:lineRule="exac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支持数据报表统计功能，如可统计指定时间段内的系统接收到的总处方数量、药品数量总和及使用本系统识别到的药品追溯码条目等数据信息。</w:t>
            </w:r>
          </w:p>
        </w:tc>
        <w:tc>
          <w:tcPr>
            <w:tcW w:w="775" w:type="dxa"/>
            <w:tcBorders>
              <w:top w:val="single" w:color="auto" w:sz="4" w:space="0"/>
              <w:left w:val="single" w:color="auto" w:sz="4" w:space="0"/>
              <w:bottom w:val="single" w:color="auto" w:sz="4" w:space="0"/>
              <w:right w:val="single" w:color="auto" w:sz="4" w:space="0"/>
            </w:tcBorders>
            <w:noWrap w:val="0"/>
            <w:vAlign w:val="top"/>
          </w:tcPr>
          <w:p w14:paraId="18A0B66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6105019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59A44DE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77847DC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07CE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77DEF0C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1431698B">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7AEAFB11">
            <w:pPr>
              <w:keepNext w:val="0"/>
              <w:keepLines w:val="0"/>
              <w:pageBreakBefore w:val="0"/>
              <w:kinsoku/>
              <w:wordWrap/>
              <w:overflowPunct/>
              <w:topLinePunct w:val="0"/>
              <w:autoSpaceDE/>
              <w:autoSpaceDN/>
              <w:bidi w:val="0"/>
              <w:spacing w:line="480" w:lineRule="exac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支持实时查询和统计各药品追溯码上传情况。</w:t>
            </w:r>
          </w:p>
        </w:tc>
        <w:tc>
          <w:tcPr>
            <w:tcW w:w="775" w:type="dxa"/>
            <w:tcBorders>
              <w:top w:val="single" w:color="auto" w:sz="4" w:space="0"/>
              <w:left w:val="single" w:color="auto" w:sz="4" w:space="0"/>
              <w:bottom w:val="single" w:color="auto" w:sz="4" w:space="0"/>
              <w:right w:val="single" w:color="auto" w:sz="4" w:space="0"/>
            </w:tcBorders>
            <w:noWrap w:val="0"/>
            <w:vAlign w:val="top"/>
          </w:tcPr>
          <w:p w14:paraId="66A5C6F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09BA6EE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4B4DE5A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5A4983D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4179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2F878ED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16E7D193">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79B63E4C">
            <w:pPr>
              <w:keepNext w:val="0"/>
              <w:keepLines w:val="0"/>
              <w:pageBreakBefore w:val="0"/>
              <w:kinsoku/>
              <w:wordWrap/>
              <w:overflowPunct/>
              <w:topLinePunct w:val="0"/>
              <w:autoSpaceDE/>
              <w:autoSpaceDN/>
              <w:bidi w:val="0"/>
              <w:spacing w:line="480" w:lineRule="exac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系统应提供详细的拆零用药记录报表，支持展示拆零处方及对应的药品追溯码信息、批号、效期、生产日期、厂家、数量、发药人、发药信息等。</w:t>
            </w:r>
          </w:p>
        </w:tc>
        <w:tc>
          <w:tcPr>
            <w:tcW w:w="775" w:type="dxa"/>
            <w:tcBorders>
              <w:top w:val="single" w:color="auto" w:sz="4" w:space="0"/>
              <w:left w:val="single" w:color="auto" w:sz="4" w:space="0"/>
              <w:bottom w:val="single" w:color="auto" w:sz="4" w:space="0"/>
              <w:right w:val="single" w:color="auto" w:sz="4" w:space="0"/>
            </w:tcBorders>
            <w:noWrap w:val="0"/>
            <w:vAlign w:val="top"/>
          </w:tcPr>
          <w:p w14:paraId="3A87076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7D13A87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6964136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16BD1CE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F76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7A872B3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437ABF4A">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4CFEC363">
            <w:pPr>
              <w:keepNext w:val="0"/>
              <w:keepLines w:val="0"/>
              <w:pageBreakBefore w:val="0"/>
              <w:kinsoku/>
              <w:wordWrap/>
              <w:overflowPunct/>
              <w:topLinePunct w:val="0"/>
              <w:autoSpaceDE/>
              <w:autoSpaceDN/>
              <w:bidi w:val="0"/>
              <w:spacing w:line="480" w:lineRule="exac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系统应支持展示完整的发药记录，包括处方信息及对应的药品追溯码、批号、效期、生产日期、厂家、数量、发药人和发药信息等。</w:t>
            </w:r>
          </w:p>
        </w:tc>
        <w:tc>
          <w:tcPr>
            <w:tcW w:w="775" w:type="dxa"/>
            <w:tcBorders>
              <w:top w:val="single" w:color="auto" w:sz="4" w:space="0"/>
              <w:left w:val="single" w:color="auto" w:sz="4" w:space="0"/>
              <w:bottom w:val="single" w:color="auto" w:sz="4" w:space="0"/>
              <w:right w:val="single" w:color="auto" w:sz="4" w:space="0"/>
            </w:tcBorders>
            <w:noWrap w:val="0"/>
            <w:vAlign w:val="top"/>
          </w:tcPr>
          <w:p w14:paraId="671DD1D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0794698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45D2B1C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372562D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61EB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restart"/>
            <w:tcBorders>
              <w:left w:val="single" w:color="auto" w:sz="4" w:space="0"/>
              <w:right w:val="single" w:color="auto" w:sz="4" w:space="0"/>
            </w:tcBorders>
            <w:noWrap w:val="0"/>
            <w:vAlign w:val="center"/>
          </w:tcPr>
          <w:p w14:paraId="593AC64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采购计划管理</w:t>
            </w:r>
          </w:p>
        </w:tc>
        <w:tc>
          <w:tcPr>
            <w:tcW w:w="1157" w:type="dxa"/>
            <w:vMerge w:val="restart"/>
            <w:tcBorders>
              <w:left w:val="single" w:color="auto" w:sz="4" w:space="0"/>
              <w:right w:val="single" w:color="auto" w:sz="4" w:space="0"/>
            </w:tcBorders>
            <w:noWrap w:val="0"/>
            <w:vAlign w:val="center"/>
          </w:tcPr>
          <w:p w14:paraId="7E2EF37D">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35D60FF7">
            <w:pPr>
              <w:keepNext w:val="0"/>
              <w:keepLines w:val="0"/>
              <w:pageBreakBefore w:val="0"/>
              <w:kinsoku/>
              <w:wordWrap/>
              <w:overflowPunct/>
              <w:topLinePunct w:val="0"/>
              <w:autoSpaceDE/>
              <w:autoSpaceDN/>
              <w:bidi w:val="0"/>
              <w:spacing w:line="480" w:lineRule="exac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能够快速制定采购计划。系统支持药房、静配中心自动生成药品采购计划申请单，药房采购计划经核查审批后上传给药库，系统自动帮助药库将各药房的采购计划进行汇总，并根据配送公司进行药品分类，快速制定出药品采购计划。</w:t>
            </w:r>
          </w:p>
        </w:tc>
        <w:tc>
          <w:tcPr>
            <w:tcW w:w="775" w:type="dxa"/>
            <w:tcBorders>
              <w:top w:val="single" w:color="auto" w:sz="4" w:space="0"/>
              <w:left w:val="single" w:color="auto" w:sz="4" w:space="0"/>
              <w:bottom w:val="single" w:color="auto" w:sz="4" w:space="0"/>
              <w:right w:val="single" w:color="auto" w:sz="4" w:space="0"/>
            </w:tcBorders>
            <w:noWrap w:val="0"/>
            <w:vAlign w:val="top"/>
          </w:tcPr>
          <w:p w14:paraId="6016279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370BBC8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3CBDA0E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542A78A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49EE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2D8C6B8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473948F2">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729DE371">
            <w:pPr>
              <w:keepNext w:val="0"/>
              <w:keepLines w:val="0"/>
              <w:pageBreakBefore w:val="0"/>
              <w:kinsoku/>
              <w:wordWrap/>
              <w:overflowPunct/>
              <w:topLinePunct w:val="0"/>
              <w:autoSpaceDE/>
              <w:autoSpaceDN/>
              <w:bidi w:val="0"/>
              <w:spacing w:line="480" w:lineRule="exac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支持药品采购计划一键补传功能。即：系统支持医院药库在确认收货药品后，能自动将采购数据上传至安徽省医药集中采购平台。</w:t>
            </w:r>
          </w:p>
        </w:tc>
        <w:tc>
          <w:tcPr>
            <w:tcW w:w="775" w:type="dxa"/>
            <w:tcBorders>
              <w:top w:val="single" w:color="auto" w:sz="4" w:space="0"/>
              <w:left w:val="single" w:color="auto" w:sz="4" w:space="0"/>
              <w:bottom w:val="single" w:color="auto" w:sz="4" w:space="0"/>
              <w:right w:val="single" w:color="auto" w:sz="4" w:space="0"/>
            </w:tcBorders>
            <w:noWrap w:val="0"/>
            <w:vAlign w:val="top"/>
          </w:tcPr>
          <w:p w14:paraId="0FBE080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4B0C3ED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7DF75C8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377EC15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72D4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846" w:type="dxa"/>
            <w:vMerge w:val="restart"/>
            <w:tcBorders>
              <w:left w:val="single" w:color="auto" w:sz="4" w:space="0"/>
              <w:right w:val="single" w:color="auto" w:sz="4" w:space="0"/>
            </w:tcBorders>
            <w:noWrap w:val="0"/>
            <w:vAlign w:val="center"/>
          </w:tcPr>
          <w:p w14:paraId="4AD444A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权限管理</w:t>
            </w:r>
          </w:p>
        </w:tc>
        <w:tc>
          <w:tcPr>
            <w:tcW w:w="1157" w:type="dxa"/>
            <w:tcBorders>
              <w:left w:val="single" w:color="auto" w:sz="4" w:space="0"/>
              <w:right w:val="single" w:color="auto" w:sz="4" w:space="0"/>
            </w:tcBorders>
            <w:noWrap w:val="0"/>
            <w:vAlign w:val="center"/>
          </w:tcPr>
          <w:p w14:paraId="5C4C9B3B">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机构管理</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6905C12C">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支持创建、修改、删除人员，以及对人员角色的创建、修改、删除，以实现对用户的身份、角色、权限等信息的管理和控制。</w:t>
            </w:r>
          </w:p>
        </w:tc>
        <w:tc>
          <w:tcPr>
            <w:tcW w:w="775" w:type="dxa"/>
            <w:tcBorders>
              <w:top w:val="single" w:color="auto" w:sz="4" w:space="0"/>
              <w:left w:val="single" w:color="auto" w:sz="4" w:space="0"/>
              <w:bottom w:val="single" w:color="auto" w:sz="4" w:space="0"/>
              <w:right w:val="single" w:color="auto" w:sz="4" w:space="0"/>
            </w:tcBorders>
            <w:noWrap w:val="0"/>
            <w:vAlign w:val="top"/>
          </w:tcPr>
          <w:p w14:paraId="2AD9319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66D234B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3D9585C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11F43B8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6530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846" w:type="dxa"/>
            <w:vMerge w:val="continue"/>
            <w:tcBorders>
              <w:left w:val="single" w:color="auto" w:sz="4" w:space="0"/>
              <w:right w:val="single" w:color="auto" w:sz="4" w:space="0"/>
            </w:tcBorders>
            <w:noWrap w:val="0"/>
            <w:vAlign w:val="center"/>
          </w:tcPr>
          <w:p w14:paraId="4AAEFB0D">
            <w:pPr>
              <w:pStyle w:val="18"/>
              <w:widowControl/>
              <w:kinsoku w:val="0"/>
              <w:overflowPunct w:val="0"/>
              <w:spacing w:line="400" w:lineRule="exact"/>
              <w:jc w:val="center"/>
            </w:pPr>
          </w:p>
        </w:tc>
        <w:tc>
          <w:tcPr>
            <w:tcW w:w="1157" w:type="dxa"/>
            <w:tcBorders>
              <w:left w:val="single" w:color="auto" w:sz="4" w:space="0"/>
              <w:right w:val="single" w:color="auto" w:sz="4" w:space="0"/>
            </w:tcBorders>
            <w:noWrap w:val="0"/>
            <w:vAlign w:val="center"/>
          </w:tcPr>
          <w:p w14:paraId="27AF031B">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人员管理</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7C69CABC">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支持创建、修改、删除人员，以及对人员角色的创建、修改、删除，以实现对用户的身份、角色、权限等信息的管理和控制。</w:t>
            </w:r>
          </w:p>
        </w:tc>
        <w:tc>
          <w:tcPr>
            <w:tcW w:w="775" w:type="dxa"/>
            <w:tcBorders>
              <w:top w:val="single" w:color="auto" w:sz="4" w:space="0"/>
              <w:left w:val="single" w:color="auto" w:sz="4" w:space="0"/>
              <w:bottom w:val="single" w:color="auto" w:sz="4" w:space="0"/>
              <w:right w:val="single" w:color="auto" w:sz="4" w:space="0"/>
            </w:tcBorders>
            <w:noWrap w:val="0"/>
            <w:vAlign w:val="top"/>
          </w:tcPr>
          <w:p w14:paraId="6619DA8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45506B8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1491C35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7C7F489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4F2F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846" w:type="dxa"/>
            <w:vMerge w:val="continue"/>
            <w:tcBorders>
              <w:left w:val="single" w:color="auto" w:sz="4" w:space="0"/>
              <w:right w:val="single" w:color="auto" w:sz="4" w:space="0"/>
            </w:tcBorders>
            <w:noWrap w:val="0"/>
            <w:vAlign w:val="center"/>
          </w:tcPr>
          <w:p w14:paraId="47C0FF3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tcBorders>
              <w:left w:val="single" w:color="auto" w:sz="4" w:space="0"/>
              <w:right w:val="single" w:color="auto" w:sz="4" w:space="0"/>
            </w:tcBorders>
            <w:noWrap w:val="0"/>
            <w:vAlign w:val="center"/>
          </w:tcPr>
          <w:p w14:paraId="61581FC5">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角色管理</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51C10BA8">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支持创建、修改、删除人员，以及对人员角色的创建、修改、删除，以实现对用户的身份、角色、权限等信息的管理和控制。</w:t>
            </w:r>
          </w:p>
        </w:tc>
        <w:tc>
          <w:tcPr>
            <w:tcW w:w="775" w:type="dxa"/>
            <w:tcBorders>
              <w:top w:val="single" w:color="auto" w:sz="4" w:space="0"/>
              <w:left w:val="single" w:color="auto" w:sz="4" w:space="0"/>
              <w:bottom w:val="single" w:color="auto" w:sz="4" w:space="0"/>
              <w:right w:val="single" w:color="auto" w:sz="4" w:space="0"/>
            </w:tcBorders>
            <w:noWrap w:val="0"/>
            <w:vAlign w:val="top"/>
          </w:tcPr>
          <w:p w14:paraId="794156D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560D0BE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0DFD899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5915C4C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4EED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846" w:type="dxa"/>
            <w:vMerge w:val="continue"/>
            <w:tcBorders>
              <w:left w:val="single" w:color="auto" w:sz="4" w:space="0"/>
              <w:right w:val="single" w:color="auto" w:sz="4" w:space="0"/>
            </w:tcBorders>
            <w:noWrap w:val="0"/>
            <w:vAlign w:val="center"/>
          </w:tcPr>
          <w:p w14:paraId="551F2FD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tcBorders>
              <w:left w:val="single" w:color="auto" w:sz="4" w:space="0"/>
              <w:right w:val="single" w:color="auto" w:sz="4" w:space="0"/>
            </w:tcBorders>
            <w:noWrap w:val="0"/>
            <w:vAlign w:val="center"/>
          </w:tcPr>
          <w:p w14:paraId="2C5C01CE">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权限管理</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3A04028E">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支持创建、修改、删除人员，以及对人员角色的创建、修改、删除，以实现对用户的身份、角色、权限等信息的管理和控制。</w:t>
            </w:r>
          </w:p>
        </w:tc>
        <w:tc>
          <w:tcPr>
            <w:tcW w:w="775" w:type="dxa"/>
            <w:tcBorders>
              <w:top w:val="single" w:color="auto" w:sz="4" w:space="0"/>
              <w:left w:val="single" w:color="auto" w:sz="4" w:space="0"/>
              <w:bottom w:val="single" w:color="auto" w:sz="4" w:space="0"/>
              <w:right w:val="single" w:color="auto" w:sz="4" w:space="0"/>
            </w:tcBorders>
            <w:noWrap w:val="0"/>
            <w:vAlign w:val="top"/>
          </w:tcPr>
          <w:p w14:paraId="688F3CD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6BD4138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7CF4C1A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538E333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2BC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846" w:type="dxa"/>
            <w:vMerge w:val="continue"/>
            <w:tcBorders>
              <w:left w:val="single" w:color="auto" w:sz="4" w:space="0"/>
              <w:right w:val="single" w:color="auto" w:sz="4" w:space="0"/>
            </w:tcBorders>
            <w:noWrap w:val="0"/>
            <w:vAlign w:val="center"/>
          </w:tcPr>
          <w:p w14:paraId="7FAA753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tcBorders>
              <w:left w:val="single" w:color="auto" w:sz="4" w:space="0"/>
              <w:right w:val="single" w:color="auto" w:sz="4" w:space="0"/>
            </w:tcBorders>
            <w:noWrap w:val="0"/>
            <w:vAlign w:val="center"/>
          </w:tcPr>
          <w:p w14:paraId="36E7BA9D">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密钥管理</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7039DC4C">
            <w:pPr>
              <w:spacing w:line="360" w:lineRule="auto"/>
              <w:jc w:val="lef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系统支持省招采子系统的密钥在院内前置机存贮，并由院内人员管理确保数据安全。</w:t>
            </w:r>
          </w:p>
        </w:tc>
        <w:tc>
          <w:tcPr>
            <w:tcW w:w="775" w:type="dxa"/>
            <w:tcBorders>
              <w:top w:val="single" w:color="auto" w:sz="4" w:space="0"/>
              <w:left w:val="single" w:color="auto" w:sz="4" w:space="0"/>
              <w:bottom w:val="single" w:color="auto" w:sz="4" w:space="0"/>
              <w:right w:val="single" w:color="auto" w:sz="4" w:space="0"/>
            </w:tcBorders>
            <w:noWrap w:val="0"/>
            <w:vAlign w:val="top"/>
          </w:tcPr>
          <w:p w14:paraId="033A0E0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0509489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42A0B7A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3545C8E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33AF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46" w:type="dxa"/>
            <w:vMerge w:val="restart"/>
            <w:tcBorders>
              <w:left w:val="single" w:color="auto" w:sz="4" w:space="0"/>
              <w:right w:val="single" w:color="auto" w:sz="4" w:space="0"/>
            </w:tcBorders>
            <w:noWrap w:val="0"/>
            <w:vAlign w:val="center"/>
          </w:tcPr>
          <w:p w14:paraId="341F757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综合管理</w:t>
            </w:r>
          </w:p>
        </w:tc>
        <w:tc>
          <w:tcPr>
            <w:tcW w:w="1157" w:type="dxa"/>
            <w:tcBorders>
              <w:left w:val="single" w:color="auto" w:sz="4" w:space="0"/>
              <w:right w:val="single" w:color="auto" w:sz="4" w:space="0"/>
            </w:tcBorders>
            <w:noWrap w:val="0"/>
            <w:vAlign w:val="center"/>
          </w:tcPr>
          <w:p w14:paraId="26051073">
            <w:pPr>
              <w:spacing w:line="360" w:lineRule="auto"/>
              <w:jc w:val="lef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采集设备监控</w:t>
            </w:r>
          </w:p>
        </w:tc>
        <w:tc>
          <w:tcPr>
            <w:tcW w:w="4190" w:type="dxa"/>
            <w:tcBorders>
              <w:top w:val="single" w:color="auto" w:sz="4" w:space="0"/>
              <w:left w:val="single" w:color="auto" w:sz="4" w:space="0"/>
              <w:bottom w:val="single" w:color="auto" w:sz="4" w:space="0"/>
              <w:right w:val="single" w:color="auto" w:sz="4" w:space="0"/>
            </w:tcBorders>
            <w:noWrap w:val="0"/>
            <w:vAlign w:val="top"/>
          </w:tcPr>
          <w:p w14:paraId="62BD0419">
            <w:pPr>
              <w:spacing w:line="360" w:lineRule="auto"/>
              <w:jc w:val="lef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对追溯码采集设备的运行状态、内存、硬盘、网络连接情况持续监控，确保采集系统正常运行。</w:t>
            </w:r>
          </w:p>
        </w:tc>
        <w:tc>
          <w:tcPr>
            <w:tcW w:w="775" w:type="dxa"/>
            <w:tcBorders>
              <w:top w:val="single" w:color="auto" w:sz="4" w:space="0"/>
              <w:left w:val="single" w:color="auto" w:sz="4" w:space="0"/>
              <w:bottom w:val="single" w:color="auto" w:sz="4" w:space="0"/>
              <w:right w:val="single" w:color="auto" w:sz="4" w:space="0"/>
            </w:tcBorders>
            <w:noWrap w:val="0"/>
            <w:vAlign w:val="top"/>
          </w:tcPr>
          <w:p w14:paraId="5369DD2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6300264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3A9B6BC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3153095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F2A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46" w:type="dxa"/>
            <w:vMerge w:val="continue"/>
            <w:tcBorders>
              <w:left w:val="single" w:color="auto" w:sz="4" w:space="0"/>
              <w:right w:val="single" w:color="auto" w:sz="4" w:space="0"/>
            </w:tcBorders>
            <w:noWrap w:val="0"/>
            <w:vAlign w:val="center"/>
          </w:tcPr>
          <w:p w14:paraId="03CA0FE7">
            <w:pPr>
              <w:pStyle w:val="18"/>
              <w:widowControl/>
              <w:kinsoku w:val="0"/>
              <w:overflowPunct w:val="0"/>
              <w:spacing w:line="400" w:lineRule="exact"/>
              <w:jc w:val="center"/>
            </w:pPr>
          </w:p>
        </w:tc>
        <w:tc>
          <w:tcPr>
            <w:tcW w:w="1157" w:type="dxa"/>
            <w:tcBorders>
              <w:left w:val="single" w:color="auto" w:sz="4" w:space="0"/>
              <w:right w:val="single" w:color="auto" w:sz="4" w:space="0"/>
            </w:tcBorders>
            <w:noWrap w:val="0"/>
            <w:vAlign w:val="center"/>
          </w:tcPr>
          <w:p w14:paraId="26F2C5E3">
            <w:pPr>
              <w:spacing w:line="360" w:lineRule="auto"/>
              <w:jc w:val="lef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统计报表</w:t>
            </w:r>
          </w:p>
        </w:tc>
        <w:tc>
          <w:tcPr>
            <w:tcW w:w="4190" w:type="dxa"/>
            <w:tcBorders>
              <w:top w:val="single" w:color="auto" w:sz="4" w:space="0"/>
              <w:left w:val="single" w:color="auto" w:sz="4" w:space="0"/>
              <w:bottom w:val="single" w:color="auto" w:sz="4" w:space="0"/>
              <w:right w:val="single" w:color="auto" w:sz="4" w:space="0"/>
            </w:tcBorders>
            <w:noWrap w:val="0"/>
            <w:vAlign w:val="top"/>
          </w:tcPr>
          <w:p w14:paraId="0D398583">
            <w:pPr>
              <w:spacing w:line="360" w:lineRule="auto"/>
              <w:jc w:val="lef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根据追溯码的上传情况按窗口、院区做统计报表</w:t>
            </w:r>
          </w:p>
        </w:tc>
        <w:tc>
          <w:tcPr>
            <w:tcW w:w="775" w:type="dxa"/>
            <w:tcBorders>
              <w:top w:val="single" w:color="auto" w:sz="4" w:space="0"/>
              <w:left w:val="single" w:color="auto" w:sz="4" w:space="0"/>
              <w:bottom w:val="single" w:color="auto" w:sz="4" w:space="0"/>
              <w:right w:val="single" w:color="auto" w:sz="4" w:space="0"/>
            </w:tcBorders>
            <w:noWrap w:val="0"/>
            <w:vAlign w:val="top"/>
          </w:tcPr>
          <w:p w14:paraId="5C93A84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157C3CE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5D4A12F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5898831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1463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46" w:type="dxa"/>
            <w:vMerge w:val="continue"/>
            <w:tcBorders>
              <w:left w:val="single" w:color="auto" w:sz="4" w:space="0"/>
              <w:right w:val="single" w:color="auto" w:sz="4" w:space="0"/>
            </w:tcBorders>
            <w:noWrap w:val="0"/>
            <w:vAlign w:val="center"/>
          </w:tcPr>
          <w:p w14:paraId="1129138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tcBorders>
              <w:left w:val="single" w:color="auto" w:sz="4" w:space="0"/>
              <w:right w:val="single" w:color="auto" w:sz="4" w:space="0"/>
            </w:tcBorders>
            <w:noWrap w:val="0"/>
            <w:vAlign w:val="center"/>
          </w:tcPr>
          <w:p w14:paraId="7CD6AFEE">
            <w:pPr>
              <w:spacing w:line="360" w:lineRule="auto"/>
              <w:jc w:val="lef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日志查看</w:t>
            </w:r>
          </w:p>
        </w:tc>
        <w:tc>
          <w:tcPr>
            <w:tcW w:w="4190" w:type="dxa"/>
            <w:tcBorders>
              <w:top w:val="single" w:color="auto" w:sz="4" w:space="0"/>
              <w:left w:val="single" w:color="auto" w:sz="4" w:space="0"/>
              <w:bottom w:val="single" w:color="auto" w:sz="4" w:space="0"/>
              <w:right w:val="single" w:color="auto" w:sz="4" w:space="0"/>
            </w:tcBorders>
            <w:noWrap w:val="0"/>
            <w:vAlign w:val="top"/>
          </w:tcPr>
          <w:p w14:paraId="58A12CAD">
            <w:pPr>
              <w:spacing w:line="360" w:lineRule="auto"/>
              <w:jc w:val="lef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通过日志查看功能可以实现追溯码是否上传成功情况。</w:t>
            </w:r>
          </w:p>
        </w:tc>
        <w:tc>
          <w:tcPr>
            <w:tcW w:w="775" w:type="dxa"/>
            <w:tcBorders>
              <w:top w:val="single" w:color="auto" w:sz="4" w:space="0"/>
              <w:left w:val="single" w:color="auto" w:sz="4" w:space="0"/>
              <w:bottom w:val="single" w:color="auto" w:sz="4" w:space="0"/>
              <w:right w:val="single" w:color="auto" w:sz="4" w:space="0"/>
            </w:tcBorders>
            <w:noWrap w:val="0"/>
            <w:vAlign w:val="top"/>
          </w:tcPr>
          <w:p w14:paraId="7B6B513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4C953B4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237D1C4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1F68A7C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4FD7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46" w:type="dxa"/>
            <w:vMerge w:val="continue"/>
            <w:tcBorders>
              <w:left w:val="single" w:color="auto" w:sz="4" w:space="0"/>
              <w:right w:val="single" w:color="auto" w:sz="4" w:space="0"/>
            </w:tcBorders>
            <w:noWrap w:val="0"/>
            <w:vAlign w:val="center"/>
          </w:tcPr>
          <w:p w14:paraId="13B8746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tcBorders>
              <w:left w:val="single" w:color="auto" w:sz="4" w:space="0"/>
              <w:right w:val="single" w:color="auto" w:sz="4" w:space="0"/>
            </w:tcBorders>
            <w:noWrap w:val="0"/>
            <w:vAlign w:val="center"/>
          </w:tcPr>
          <w:p w14:paraId="4771B012">
            <w:pPr>
              <w:spacing w:line="360" w:lineRule="auto"/>
              <w:jc w:val="lef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漏传补报</w:t>
            </w:r>
          </w:p>
        </w:tc>
        <w:tc>
          <w:tcPr>
            <w:tcW w:w="4190" w:type="dxa"/>
            <w:tcBorders>
              <w:top w:val="single" w:color="auto" w:sz="4" w:space="0"/>
              <w:left w:val="single" w:color="auto" w:sz="4" w:space="0"/>
              <w:bottom w:val="single" w:color="auto" w:sz="4" w:space="0"/>
              <w:right w:val="single" w:color="auto" w:sz="4" w:space="0"/>
            </w:tcBorders>
            <w:noWrap w:val="0"/>
            <w:vAlign w:val="top"/>
          </w:tcPr>
          <w:p w14:paraId="4ADCB3FF">
            <w:pPr>
              <w:spacing w:line="360" w:lineRule="auto"/>
              <w:jc w:val="lef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对因网络原因或部分数据缺失无法成功上传的药品，实现漏传补报，应采尽采</w:t>
            </w:r>
          </w:p>
        </w:tc>
        <w:tc>
          <w:tcPr>
            <w:tcW w:w="775" w:type="dxa"/>
            <w:tcBorders>
              <w:top w:val="single" w:color="auto" w:sz="4" w:space="0"/>
              <w:left w:val="single" w:color="auto" w:sz="4" w:space="0"/>
              <w:bottom w:val="single" w:color="auto" w:sz="4" w:space="0"/>
              <w:right w:val="single" w:color="auto" w:sz="4" w:space="0"/>
            </w:tcBorders>
            <w:noWrap w:val="0"/>
            <w:vAlign w:val="top"/>
          </w:tcPr>
          <w:p w14:paraId="5D60924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48BD905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09E02C1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79196E2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66B6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tcBorders>
              <w:left w:val="single" w:color="auto" w:sz="4" w:space="0"/>
              <w:right w:val="single" w:color="auto" w:sz="4" w:space="0"/>
            </w:tcBorders>
            <w:noWrap w:val="0"/>
            <w:vAlign w:val="center"/>
          </w:tcPr>
          <w:p w14:paraId="7CBA2CB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耗材</w:t>
            </w:r>
          </w:p>
        </w:tc>
        <w:tc>
          <w:tcPr>
            <w:tcW w:w="1157" w:type="dxa"/>
            <w:tcBorders>
              <w:left w:val="single" w:color="auto" w:sz="4" w:space="0"/>
              <w:right w:val="single" w:color="auto" w:sz="4" w:space="0"/>
            </w:tcBorders>
            <w:noWrap w:val="0"/>
            <w:vAlign w:val="center"/>
          </w:tcPr>
          <w:p w14:paraId="42E3E00C">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追溯码上传</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52E08507">
            <w:pPr>
              <w:spacing w:line="360" w:lineRule="auto"/>
              <w:rPr>
                <w:rFonts w:hint="default"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支持耗材的UDI码作为追溯码，打通spd的入库和his的临床消耗数据，上报医保入库和销售接口，根据医保政策要求免费实施</w:t>
            </w:r>
            <w:bookmarkStart w:id="19" w:name="_GoBack"/>
            <w:bookmarkEnd w:id="19"/>
            <w:r>
              <w:rPr>
                <w:rFonts w:hint="eastAsia" w:ascii="仿宋" w:hAnsi="仿宋" w:eastAsia="仿宋" w:cstheme="minorBidi"/>
                <w:bCs/>
                <w:kern w:val="2"/>
                <w:sz w:val="21"/>
                <w:szCs w:val="21"/>
                <w:lang w:val="en-US" w:eastAsia="zh-CN" w:bidi="ar-SA"/>
              </w:rPr>
              <w:t>变更上传方式及要求。</w:t>
            </w:r>
          </w:p>
        </w:tc>
        <w:tc>
          <w:tcPr>
            <w:tcW w:w="775" w:type="dxa"/>
            <w:tcBorders>
              <w:top w:val="single" w:color="auto" w:sz="4" w:space="0"/>
              <w:left w:val="single" w:color="auto" w:sz="4" w:space="0"/>
              <w:bottom w:val="single" w:color="auto" w:sz="4" w:space="0"/>
              <w:right w:val="single" w:color="auto" w:sz="4" w:space="0"/>
            </w:tcBorders>
            <w:noWrap w:val="0"/>
            <w:vAlign w:val="top"/>
          </w:tcPr>
          <w:p w14:paraId="116CE60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42CFCEB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48142C2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5123FE9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4D72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restart"/>
            <w:tcBorders>
              <w:left w:val="single" w:color="auto" w:sz="4" w:space="0"/>
              <w:right w:val="single" w:color="auto" w:sz="4" w:space="0"/>
            </w:tcBorders>
            <w:noWrap w:val="0"/>
            <w:vAlign w:val="center"/>
          </w:tcPr>
          <w:p w14:paraId="4FEEB12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OCR高拍仪(5台)</w:t>
            </w:r>
          </w:p>
        </w:tc>
        <w:tc>
          <w:tcPr>
            <w:tcW w:w="1157" w:type="dxa"/>
            <w:vMerge w:val="restart"/>
            <w:tcBorders>
              <w:left w:val="single" w:color="auto" w:sz="4" w:space="0"/>
              <w:right w:val="single" w:color="auto" w:sz="4" w:space="0"/>
            </w:tcBorders>
            <w:noWrap w:val="0"/>
            <w:vAlign w:val="center"/>
          </w:tcPr>
          <w:p w14:paraId="25C64459">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图像采集性能</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67323E50">
            <w:pPr>
              <w:keepNext w:val="0"/>
              <w:keepLines w:val="0"/>
              <w:pageBreakBefore w:val="0"/>
              <w:kinsoku/>
              <w:wordWrap/>
              <w:overflowPunct/>
              <w:topLinePunct w:val="0"/>
              <w:autoSpaceDE/>
              <w:autoSpaceDN/>
              <w:bidi w:val="0"/>
              <w:spacing w:line="480" w:lineRule="exac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分辨率：≥600万像素，确保微小二维码（如3mm×3mm）清晰可辨；可设别范围≥800平方厘米。</w:t>
            </w:r>
          </w:p>
        </w:tc>
        <w:tc>
          <w:tcPr>
            <w:tcW w:w="775" w:type="dxa"/>
            <w:tcBorders>
              <w:top w:val="single" w:color="auto" w:sz="4" w:space="0"/>
              <w:left w:val="single" w:color="auto" w:sz="4" w:space="0"/>
              <w:bottom w:val="single" w:color="auto" w:sz="4" w:space="0"/>
              <w:right w:val="single" w:color="auto" w:sz="4" w:space="0"/>
            </w:tcBorders>
            <w:noWrap w:val="0"/>
            <w:vAlign w:val="top"/>
          </w:tcPr>
          <w:p w14:paraId="1988D31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56C0891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630F25C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568D6C2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09BB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70E9D22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2595544C">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5FB507DD">
            <w:pPr>
              <w:keepNext w:val="0"/>
              <w:keepLines w:val="0"/>
              <w:pageBreakBefore w:val="0"/>
              <w:kinsoku/>
              <w:wordWrap/>
              <w:overflowPunct/>
              <w:topLinePunct w:val="0"/>
              <w:autoSpaceDE/>
              <w:autoSpaceDN/>
              <w:bidi w:val="0"/>
              <w:spacing w:line="480" w:lineRule="exac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光学变焦：支持3倍以上光学变焦，适应不同药品包装尺寸（如小瓶标签、大箱码）。</w:t>
            </w:r>
          </w:p>
        </w:tc>
        <w:tc>
          <w:tcPr>
            <w:tcW w:w="775" w:type="dxa"/>
            <w:tcBorders>
              <w:top w:val="single" w:color="auto" w:sz="4" w:space="0"/>
              <w:left w:val="single" w:color="auto" w:sz="4" w:space="0"/>
              <w:bottom w:val="single" w:color="auto" w:sz="4" w:space="0"/>
              <w:right w:val="single" w:color="auto" w:sz="4" w:space="0"/>
            </w:tcBorders>
            <w:noWrap w:val="0"/>
            <w:vAlign w:val="top"/>
          </w:tcPr>
          <w:p w14:paraId="1386733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7302610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6692844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44EB720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448C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4ED8E2F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4FD31FC4">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522C1688">
            <w:pPr>
              <w:keepNext w:val="0"/>
              <w:keepLines w:val="0"/>
              <w:pageBreakBefore w:val="0"/>
              <w:kinsoku/>
              <w:wordWrap/>
              <w:overflowPunct/>
              <w:topLinePunct w:val="0"/>
              <w:autoSpaceDE/>
              <w:autoSpaceDN/>
              <w:bidi w:val="0"/>
              <w:spacing w:line="480" w:lineRule="exac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帧率与对焦：自动对焦速度≤0.3秒，视频模式60fps。</w:t>
            </w:r>
          </w:p>
        </w:tc>
        <w:tc>
          <w:tcPr>
            <w:tcW w:w="775" w:type="dxa"/>
            <w:tcBorders>
              <w:top w:val="single" w:color="auto" w:sz="4" w:space="0"/>
              <w:left w:val="single" w:color="auto" w:sz="4" w:space="0"/>
              <w:bottom w:val="single" w:color="auto" w:sz="4" w:space="0"/>
              <w:right w:val="single" w:color="auto" w:sz="4" w:space="0"/>
            </w:tcBorders>
            <w:noWrap w:val="0"/>
            <w:vAlign w:val="top"/>
          </w:tcPr>
          <w:p w14:paraId="3C2FB02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3C2E10B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396318B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646AC68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936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7FC3B7F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restart"/>
            <w:tcBorders>
              <w:left w:val="single" w:color="auto" w:sz="4" w:space="0"/>
              <w:right w:val="single" w:color="auto" w:sz="4" w:space="0"/>
            </w:tcBorders>
            <w:noWrap w:val="0"/>
            <w:vAlign w:val="center"/>
          </w:tcPr>
          <w:p w14:paraId="4386F025">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光源与抗干扰能力</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262EEBDE">
            <w:pPr>
              <w:keepNext w:val="0"/>
              <w:keepLines w:val="0"/>
              <w:pageBreakBefore w:val="0"/>
              <w:kinsoku/>
              <w:wordWrap/>
              <w:overflowPunct/>
              <w:topLinePunct w:val="0"/>
              <w:autoSpaceDE/>
              <w:autoSpaceDN/>
              <w:bidi w:val="0"/>
              <w:spacing w:line="480" w:lineRule="exac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多光谱补光：支持白光、红外光切换，解决反光药盒（如铝箔包装）的眩光问题。</w:t>
            </w:r>
          </w:p>
        </w:tc>
        <w:tc>
          <w:tcPr>
            <w:tcW w:w="775" w:type="dxa"/>
            <w:tcBorders>
              <w:top w:val="single" w:color="auto" w:sz="4" w:space="0"/>
              <w:left w:val="single" w:color="auto" w:sz="4" w:space="0"/>
              <w:bottom w:val="single" w:color="auto" w:sz="4" w:space="0"/>
              <w:right w:val="single" w:color="auto" w:sz="4" w:space="0"/>
            </w:tcBorders>
            <w:noWrap w:val="0"/>
            <w:vAlign w:val="top"/>
          </w:tcPr>
          <w:p w14:paraId="09488D5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76CDC66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357CBD3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38D0F3B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E5B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2C6348A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743BB221">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3066CEAD">
            <w:pPr>
              <w:keepNext w:val="0"/>
              <w:keepLines w:val="0"/>
              <w:pageBreakBefore w:val="0"/>
              <w:kinsoku/>
              <w:wordWrap/>
              <w:overflowPunct/>
              <w:topLinePunct w:val="0"/>
              <w:autoSpaceDE/>
              <w:autoSpaceDN/>
              <w:bidi w:val="0"/>
              <w:spacing w:line="480" w:lineRule="exac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均匀性要求：光照均匀度≥95%，避免阴影遮挡追溯码（如凹陷/曲面标签）。</w:t>
            </w:r>
          </w:p>
        </w:tc>
        <w:tc>
          <w:tcPr>
            <w:tcW w:w="775" w:type="dxa"/>
            <w:tcBorders>
              <w:top w:val="single" w:color="auto" w:sz="4" w:space="0"/>
              <w:left w:val="single" w:color="auto" w:sz="4" w:space="0"/>
              <w:bottom w:val="single" w:color="auto" w:sz="4" w:space="0"/>
              <w:right w:val="single" w:color="auto" w:sz="4" w:space="0"/>
            </w:tcBorders>
            <w:noWrap w:val="0"/>
            <w:vAlign w:val="top"/>
          </w:tcPr>
          <w:p w14:paraId="6E83B4D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3308177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629FE20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08BED95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1544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239CF92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restart"/>
            <w:tcBorders>
              <w:left w:val="single" w:color="auto" w:sz="4" w:space="0"/>
              <w:right w:val="single" w:color="auto" w:sz="4" w:space="0"/>
            </w:tcBorders>
            <w:noWrap w:val="0"/>
            <w:vAlign w:val="center"/>
          </w:tcPr>
          <w:p w14:paraId="3F715DAA">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追溯码识别能力</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48AE30AC">
            <w:pPr>
              <w:keepNext w:val="0"/>
              <w:keepLines w:val="0"/>
              <w:pageBreakBefore w:val="0"/>
              <w:kinsoku/>
              <w:wordWrap/>
              <w:overflowPunct/>
              <w:topLinePunct w:val="0"/>
              <w:autoSpaceDE/>
              <w:autoSpaceDN/>
              <w:bidi w:val="0"/>
              <w:spacing w:line="480" w:lineRule="exac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能够设别药品追溯码的一维码及二维码，具备批量解码功能，解码速度≥90个/秒，扫描追溯码个数≥90个。</w:t>
            </w:r>
          </w:p>
        </w:tc>
        <w:tc>
          <w:tcPr>
            <w:tcW w:w="775" w:type="dxa"/>
            <w:tcBorders>
              <w:top w:val="single" w:color="auto" w:sz="4" w:space="0"/>
              <w:left w:val="single" w:color="auto" w:sz="4" w:space="0"/>
              <w:bottom w:val="single" w:color="auto" w:sz="4" w:space="0"/>
              <w:right w:val="single" w:color="auto" w:sz="4" w:space="0"/>
            </w:tcBorders>
            <w:noWrap w:val="0"/>
            <w:vAlign w:val="top"/>
          </w:tcPr>
          <w:p w14:paraId="171155A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657F744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3A4003E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54F4447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01BA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7525057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69097BE0">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272C6001">
            <w:pPr>
              <w:keepNext w:val="0"/>
              <w:keepLines w:val="0"/>
              <w:pageBreakBefore w:val="0"/>
              <w:kinsoku/>
              <w:wordWrap/>
              <w:overflowPunct/>
              <w:topLinePunct w:val="0"/>
              <w:autoSpaceDE/>
              <w:autoSpaceDN/>
              <w:bidi w:val="0"/>
              <w:spacing w:line="480" w:lineRule="exac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多码同框识别：单张图像中自动识别并分离多个追溯码（如药盒+内部单片码）。</w:t>
            </w:r>
          </w:p>
        </w:tc>
        <w:tc>
          <w:tcPr>
            <w:tcW w:w="775" w:type="dxa"/>
            <w:tcBorders>
              <w:top w:val="single" w:color="auto" w:sz="4" w:space="0"/>
              <w:left w:val="single" w:color="auto" w:sz="4" w:space="0"/>
              <w:bottom w:val="single" w:color="auto" w:sz="4" w:space="0"/>
              <w:right w:val="single" w:color="auto" w:sz="4" w:space="0"/>
            </w:tcBorders>
            <w:noWrap w:val="0"/>
            <w:vAlign w:val="top"/>
          </w:tcPr>
          <w:p w14:paraId="2804C09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7172F15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1ABB5BC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343296A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0049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0857B80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7372BAC0">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17928494">
            <w:pPr>
              <w:keepNext w:val="0"/>
              <w:keepLines w:val="0"/>
              <w:pageBreakBefore w:val="0"/>
              <w:kinsoku/>
              <w:wordWrap/>
              <w:overflowPunct/>
              <w:topLinePunct w:val="0"/>
              <w:autoSpaceDE/>
              <w:autoSpaceDN/>
              <w:bidi w:val="0"/>
              <w:spacing w:line="480" w:lineRule="exact"/>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识别率指标：一维码识别率≥99.99%，二维码≥99.5%。</w:t>
            </w:r>
          </w:p>
        </w:tc>
        <w:tc>
          <w:tcPr>
            <w:tcW w:w="775" w:type="dxa"/>
            <w:tcBorders>
              <w:top w:val="single" w:color="auto" w:sz="4" w:space="0"/>
              <w:left w:val="single" w:color="auto" w:sz="4" w:space="0"/>
              <w:bottom w:val="single" w:color="auto" w:sz="4" w:space="0"/>
              <w:right w:val="single" w:color="auto" w:sz="4" w:space="0"/>
            </w:tcBorders>
            <w:noWrap w:val="0"/>
            <w:vAlign w:val="top"/>
          </w:tcPr>
          <w:p w14:paraId="791B1C5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3C5A089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43AC57E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10EA184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6D91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68A6401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restart"/>
            <w:tcBorders>
              <w:left w:val="single" w:color="auto" w:sz="4" w:space="0"/>
              <w:right w:val="single" w:color="auto" w:sz="4" w:space="0"/>
            </w:tcBorders>
            <w:noWrap w:val="0"/>
            <w:vAlign w:val="center"/>
          </w:tcPr>
          <w:p w14:paraId="66B5D68C">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环境与运维参数</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7BAFC78B">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温湿度范围：工作温度：-10°C~50°C，湿度10%~90%。</w:t>
            </w:r>
          </w:p>
        </w:tc>
        <w:tc>
          <w:tcPr>
            <w:tcW w:w="775" w:type="dxa"/>
            <w:tcBorders>
              <w:top w:val="single" w:color="auto" w:sz="4" w:space="0"/>
              <w:left w:val="single" w:color="auto" w:sz="4" w:space="0"/>
              <w:bottom w:val="single" w:color="auto" w:sz="4" w:space="0"/>
              <w:right w:val="single" w:color="auto" w:sz="4" w:space="0"/>
            </w:tcBorders>
            <w:noWrap w:val="0"/>
            <w:vAlign w:val="top"/>
          </w:tcPr>
          <w:p w14:paraId="5951EE0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22CB2A4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2A8D40C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05B2213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05B5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4946DF4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17F2463A">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2A978F6F">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连续工作时长：≥12小时不间断运行，无过热死机。</w:t>
            </w:r>
          </w:p>
        </w:tc>
        <w:tc>
          <w:tcPr>
            <w:tcW w:w="775" w:type="dxa"/>
            <w:tcBorders>
              <w:top w:val="single" w:color="auto" w:sz="4" w:space="0"/>
              <w:left w:val="single" w:color="auto" w:sz="4" w:space="0"/>
              <w:bottom w:val="single" w:color="auto" w:sz="4" w:space="0"/>
              <w:right w:val="single" w:color="auto" w:sz="4" w:space="0"/>
            </w:tcBorders>
            <w:noWrap w:val="0"/>
            <w:vAlign w:val="top"/>
          </w:tcPr>
          <w:p w14:paraId="4A46292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7570D544">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05F48DC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525CD94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5920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7984331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16747531">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3AC485AA">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数据接口：支持至少USB和RJ45网口等多种连接方式。</w:t>
            </w:r>
          </w:p>
        </w:tc>
        <w:tc>
          <w:tcPr>
            <w:tcW w:w="775" w:type="dxa"/>
            <w:tcBorders>
              <w:top w:val="single" w:color="auto" w:sz="4" w:space="0"/>
              <w:left w:val="single" w:color="auto" w:sz="4" w:space="0"/>
              <w:bottom w:val="single" w:color="auto" w:sz="4" w:space="0"/>
              <w:right w:val="single" w:color="auto" w:sz="4" w:space="0"/>
            </w:tcBorders>
            <w:noWrap w:val="0"/>
            <w:vAlign w:val="top"/>
          </w:tcPr>
          <w:p w14:paraId="2EA4133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308CFA6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1508A52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493B4F2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0CC9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20B9B58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26E25494">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087DFD32">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可以在发药端或调配端自由切换使用。</w:t>
            </w:r>
          </w:p>
        </w:tc>
        <w:tc>
          <w:tcPr>
            <w:tcW w:w="775" w:type="dxa"/>
            <w:tcBorders>
              <w:top w:val="single" w:color="auto" w:sz="4" w:space="0"/>
              <w:left w:val="single" w:color="auto" w:sz="4" w:space="0"/>
              <w:bottom w:val="single" w:color="auto" w:sz="4" w:space="0"/>
              <w:right w:val="single" w:color="auto" w:sz="4" w:space="0"/>
            </w:tcBorders>
            <w:noWrap w:val="0"/>
            <w:vAlign w:val="top"/>
          </w:tcPr>
          <w:p w14:paraId="17D61F4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749F2A7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305C173B">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59764BE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55E0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restart"/>
            <w:tcBorders>
              <w:left w:val="single" w:color="auto" w:sz="4" w:space="0"/>
              <w:right w:val="single" w:color="auto" w:sz="4" w:space="0"/>
            </w:tcBorders>
            <w:noWrap w:val="0"/>
            <w:vAlign w:val="center"/>
          </w:tcPr>
          <w:p w14:paraId="5DFDF68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采集设备附带电脑（5台）</w:t>
            </w:r>
          </w:p>
        </w:tc>
        <w:tc>
          <w:tcPr>
            <w:tcW w:w="1157" w:type="dxa"/>
            <w:vMerge w:val="restart"/>
            <w:tcBorders>
              <w:left w:val="single" w:color="auto" w:sz="4" w:space="0"/>
              <w:right w:val="single" w:color="auto" w:sz="4" w:space="0"/>
            </w:tcBorders>
            <w:noWrap w:val="0"/>
            <w:vAlign w:val="center"/>
          </w:tcPr>
          <w:p w14:paraId="571CAF7E">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68185C86">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处理器主频≥1.8GHz；内存≥8GB；存储≥256GB。</w:t>
            </w:r>
          </w:p>
        </w:tc>
        <w:tc>
          <w:tcPr>
            <w:tcW w:w="775" w:type="dxa"/>
            <w:tcBorders>
              <w:top w:val="single" w:color="auto" w:sz="4" w:space="0"/>
              <w:left w:val="single" w:color="auto" w:sz="4" w:space="0"/>
              <w:bottom w:val="single" w:color="auto" w:sz="4" w:space="0"/>
              <w:right w:val="single" w:color="auto" w:sz="4" w:space="0"/>
            </w:tcBorders>
            <w:noWrap w:val="0"/>
            <w:vAlign w:val="top"/>
          </w:tcPr>
          <w:p w14:paraId="29AB657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19DAB7A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5D5117E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738ACB9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381E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6E39785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5E32F9F2">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57401ACC">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显示屏：≥10.0 英寸，分辨率≥1920×1080（高清）。</w:t>
            </w:r>
          </w:p>
        </w:tc>
        <w:tc>
          <w:tcPr>
            <w:tcW w:w="775" w:type="dxa"/>
            <w:tcBorders>
              <w:top w:val="single" w:color="auto" w:sz="4" w:space="0"/>
              <w:left w:val="single" w:color="auto" w:sz="4" w:space="0"/>
              <w:bottom w:val="single" w:color="auto" w:sz="4" w:space="0"/>
              <w:right w:val="single" w:color="auto" w:sz="4" w:space="0"/>
            </w:tcBorders>
            <w:noWrap w:val="0"/>
            <w:vAlign w:val="top"/>
          </w:tcPr>
          <w:p w14:paraId="003438C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434728D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0A79B82A">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79BC1A2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6CEB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657BA52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25B59733">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74D58DCF">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电池容量≥5000mAh。</w:t>
            </w:r>
          </w:p>
        </w:tc>
        <w:tc>
          <w:tcPr>
            <w:tcW w:w="775" w:type="dxa"/>
            <w:tcBorders>
              <w:top w:val="single" w:color="auto" w:sz="4" w:space="0"/>
              <w:left w:val="single" w:color="auto" w:sz="4" w:space="0"/>
              <w:bottom w:val="single" w:color="auto" w:sz="4" w:space="0"/>
              <w:right w:val="single" w:color="auto" w:sz="4" w:space="0"/>
            </w:tcBorders>
            <w:noWrap w:val="0"/>
            <w:vAlign w:val="top"/>
          </w:tcPr>
          <w:p w14:paraId="20BA2AF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1616A5A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67EA274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0CA1073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0A3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restart"/>
            <w:tcBorders>
              <w:left w:val="single" w:color="auto" w:sz="4" w:space="0"/>
              <w:right w:val="single" w:color="auto" w:sz="4" w:space="0"/>
            </w:tcBorders>
            <w:noWrap w:val="0"/>
            <w:vAlign w:val="center"/>
          </w:tcPr>
          <w:p w14:paraId="215B8884">
            <w:pPr>
              <w:pStyle w:val="18"/>
              <w:widowControl/>
              <w:kinsoku w:val="0"/>
              <w:overflowPunct w:val="0"/>
              <w:spacing w:line="400" w:lineRule="exact"/>
              <w:jc w:val="center"/>
              <w:rPr>
                <w:rFonts w:hint="default"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PDA设备（6台）</w:t>
            </w:r>
          </w:p>
        </w:tc>
        <w:tc>
          <w:tcPr>
            <w:tcW w:w="1157" w:type="dxa"/>
            <w:vMerge w:val="restart"/>
            <w:tcBorders>
              <w:left w:val="single" w:color="auto" w:sz="4" w:space="0"/>
              <w:right w:val="single" w:color="auto" w:sz="4" w:space="0"/>
            </w:tcBorders>
            <w:noWrap w:val="0"/>
            <w:vAlign w:val="center"/>
          </w:tcPr>
          <w:p w14:paraId="7C17499D">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2947B491">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操作系统：CPU为八核处理器及以上，主频≥2.8GHz。</w:t>
            </w:r>
          </w:p>
          <w:p w14:paraId="459D29FE">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内存≥4GB，存储≥64GB。</w:t>
            </w:r>
          </w:p>
        </w:tc>
        <w:tc>
          <w:tcPr>
            <w:tcW w:w="775" w:type="dxa"/>
            <w:tcBorders>
              <w:top w:val="single" w:color="auto" w:sz="4" w:space="0"/>
              <w:left w:val="single" w:color="auto" w:sz="4" w:space="0"/>
              <w:bottom w:val="single" w:color="auto" w:sz="4" w:space="0"/>
              <w:right w:val="single" w:color="auto" w:sz="4" w:space="0"/>
            </w:tcBorders>
            <w:noWrap w:val="0"/>
            <w:vAlign w:val="top"/>
          </w:tcPr>
          <w:p w14:paraId="27F1C321">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0B00C68C">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6FCE082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0A0F146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0C37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7AE13069">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0ECF78C3">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382C98A9">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显示屏：≥5.0英寸，分辨率≥1280×720（高清）。</w:t>
            </w:r>
          </w:p>
        </w:tc>
        <w:tc>
          <w:tcPr>
            <w:tcW w:w="775" w:type="dxa"/>
            <w:tcBorders>
              <w:top w:val="single" w:color="auto" w:sz="4" w:space="0"/>
              <w:left w:val="single" w:color="auto" w:sz="4" w:space="0"/>
              <w:bottom w:val="single" w:color="auto" w:sz="4" w:space="0"/>
              <w:right w:val="single" w:color="auto" w:sz="4" w:space="0"/>
            </w:tcBorders>
            <w:noWrap w:val="0"/>
            <w:vAlign w:val="top"/>
          </w:tcPr>
          <w:p w14:paraId="5856AD8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612998E7">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327B270E">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6D679FA6">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22A0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right w:val="single" w:color="auto" w:sz="4" w:space="0"/>
            </w:tcBorders>
            <w:noWrap w:val="0"/>
            <w:vAlign w:val="center"/>
          </w:tcPr>
          <w:p w14:paraId="10FB47C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right w:val="single" w:color="auto" w:sz="4" w:space="0"/>
            </w:tcBorders>
            <w:noWrap w:val="0"/>
            <w:vAlign w:val="center"/>
          </w:tcPr>
          <w:p w14:paraId="5BFBD3EE">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2FD42284">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电池：可卸载式，容量≥5000mAh，一次充电正常工作时间≥5小时。</w:t>
            </w:r>
          </w:p>
        </w:tc>
        <w:tc>
          <w:tcPr>
            <w:tcW w:w="775" w:type="dxa"/>
            <w:tcBorders>
              <w:top w:val="single" w:color="auto" w:sz="4" w:space="0"/>
              <w:left w:val="single" w:color="auto" w:sz="4" w:space="0"/>
              <w:bottom w:val="single" w:color="auto" w:sz="4" w:space="0"/>
              <w:right w:val="single" w:color="auto" w:sz="4" w:space="0"/>
            </w:tcBorders>
            <w:noWrap w:val="0"/>
            <w:vAlign w:val="top"/>
          </w:tcPr>
          <w:p w14:paraId="469E2D08">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2777143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397C853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2038F5DF">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r w14:paraId="783C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6" w:type="dxa"/>
            <w:vMerge w:val="continue"/>
            <w:tcBorders>
              <w:left w:val="single" w:color="auto" w:sz="4" w:space="0"/>
              <w:bottom w:val="single" w:color="auto" w:sz="4" w:space="0"/>
              <w:right w:val="single" w:color="auto" w:sz="4" w:space="0"/>
            </w:tcBorders>
            <w:noWrap w:val="0"/>
            <w:vAlign w:val="center"/>
          </w:tcPr>
          <w:p w14:paraId="4217D573">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157" w:type="dxa"/>
            <w:vMerge w:val="continue"/>
            <w:tcBorders>
              <w:left w:val="single" w:color="auto" w:sz="4" w:space="0"/>
              <w:bottom w:val="single" w:color="auto" w:sz="4" w:space="0"/>
              <w:right w:val="single" w:color="auto" w:sz="4" w:space="0"/>
            </w:tcBorders>
            <w:noWrap w:val="0"/>
            <w:vAlign w:val="center"/>
          </w:tcPr>
          <w:p w14:paraId="777A840E">
            <w:pPr>
              <w:spacing w:line="360" w:lineRule="auto"/>
              <w:rPr>
                <w:rFonts w:hint="eastAsia" w:ascii="仿宋" w:hAnsi="仿宋" w:eastAsia="仿宋" w:cstheme="minorBidi"/>
                <w:bCs/>
                <w:kern w:val="2"/>
                <w:sz w:val="21"/>
                <w:szCs w:val="21"/>
                <w:lang w:val="en-US" w:eastAsia="zh-CN" w:bidi="ar-SA"/>
              </w:rPr>
            </w:pPr>
          </w:p>
        </w:tc>
        <w:tc>
          <w:tcPr>
            <w:tcW w:w="4190" w:type="dxa"/>
            <w:tcBorders>
              <w:top w:val="single" w:color="auto" w:sz="4" w:space="0"/>
              <w:left w:val="single" w:color="auto" w:sz="4" w:space="0"/>
              <w:bottom w:val="single" w:color="auto" w:sz="4" w:space="0"/>
              <w:right w:val="single" w:color="auto" w:sz="4" w:space="0"/>
            </w:tcBorders>
            <w:noWrap w:val="0"/>
            <w:vAlign w:val="center"/>
          </w:tcPr>
          <w:p w14:paraId="1C7E55BA">
            <w:pPr>
              <w:spacing w:line="360" w:lineRule="auto"/>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条码识别：支持一维码和二维码。</w:t>
            </w:r>
          </w:p>
        </w:tc>
        <w:tc>
          <w:tcPr>
            <w:tcW w:w="775" w:type="dxa"/>
            <w:tcBorders>
              <w:top w:val="single" w:color="auto" w:sz="4" w:space="0"/>
              <w:left w:val="single" w:color="auto" w:sz="4" w:space="0"/>
              <w:bottom w:val="single" w:color="auto" w:sz="4" w:space="0"/>
              <w:right w:val="single" w:color="auto" w:sz="4" w:space="0"/>
            </w:tcBorders>
            <w:noWrap w:val="0"/>
            <w:vAlign w:val="top"/>
          </w:tcPr>
          <w:p w14:paraId="4067CDA5">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848" w:type="dxa"/>
            <w:tcBorders>
              <w:left w:val="single" w:color="auto" w:sz="4" w:space="0"/>
              <w:right w:val="single" w:color="auto" w:sz="4" w:space="0"/>
            </w:tcBorders>
            <w:noWrap w:val="0"/>
            <w:vAlign w:val="center"/>
          </w:tcPr>
          <w:p w14:paraId="3107F180">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16" w:type="dxa"/>
            <w:tcBorders>
              <w:left w:val="single" w:color="auto" w:sz="4" w:space="0"/>
              <w:right w:val="single" w:color="auto" w:sz="4" w:space="0"/>
            </w:tcBorders>
            <w:noWrap w:val="0"/>
            <w:vAlign w:val="center"/>
          </w:tcPr>
          <w:p w14:paraId="285EADAD">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c>
          <w:tcPr>
            <w:tcW w:w="1020" w:type="dxa"/>
            <w:tcBorders>
              <w:left w:val="single" w:color="auto" w:sz="4" w:space="0"/>
              <w:right w:val="single" w:color="auto" w:sz="4" w:space="0"/>
            </w:tcBorders>
            <w:noWrap w:val="0"/>
            <w:vAlign w:val="top"/>
          </w:tcPr>
          <w:p w14:paraId="557E1A32">
            <w:pPr>
              <w:pStyle w:val="18"/>
              <w:widowControl/>
              <w:kinsoku w:val="0"/>
              <w:overflowPunct w:val="0"/>
              <w:spacing w:line="400" w:lineRule="exact"/>
              <w:jc w:val="center"/>
              <w:rPr>
                <w:rFonts w:hint="eastAsia" w:ascii="仿宋" w:hAnsi="仿宋" w:eastAsia="仿宋" w:cstheme="minorBidi"/>
                <w:bCs/>
                <w:kern w:val="2"/>
                <w:sz w:val="21"/>
                <w:szCs w:val="21"/>
                <w:lang w:val="en-US" w:eastAsia="zh-CN" w:bidi="ar-SA"/>
              </w:rPr>
            </w:pPr>
          </w:p>
        </w:tc>
      </w:tr>
    </w:tbl>
    <w:p w14:paraId="3EFCBB8A">
      <w:pPr>
        <w:spacing w:line="280" w:lineRule="exact"/>
        <w:rPr>
          <w:rFonts w:hint="eastAsia" w:ascii="仿宋" w:hAnsi="仿宋" w:eastAsia="仿宋"/>
          <w:b/>
          <w:bCs/>
          <w:szCs w:val="21"/>
          <w:lang w:val="en-US" w:eastAsia="zh-CN"/>
        </w:rPr>
      </w:pPr>
      <w:r>
        <w:rPr>
          <w:rFonts w:hint="eastAsia" w:ascii="仿宋" w:hAnsi="仿宋" w:eastAsia="仿宋"/>
          <w:b/>
          <w:bCs/>
          <w:szCs w:val="21"/>
          <w:lang w:val="en-US" w:eastAsia="zh-CN"/>
        </w:rPr>
        <w:t>注：报价包括总价及分项报价表</w:t>
      </w:r>
    </w:p>
    <w:p w14:paraId="2EF30356">
      <w:pPr>
        <w:pStyle w:val="2"/>
        <w:rPr>
          <w:rFonts w:hint="eastAsia" w:ascii="仿宋" w:hAnsi="仿宋" w:eastAsia="仿宋"/>
          <w:b/>
          <w:bCs/>
          <w:szCs w:val="21"/>
          <w:lang w:val="en-US" w:eastAsia="zh-CN"/>
        </w:rPr>
      </w:pPr>
    </w:p>
    <w:p w14:paraId="562E7F19">
      <w:pPr>
        <w:pStyle w:val="2"/>
        <w:rPr>
          <w:rFonts w:hint="default" w:ascii="仿宋" w:hAnsi="仿宋" w:eastAsia="仿宋"/>
          <w:b/>
          <w:bCs/>
          <w:szCs w:val="21"/>
          <w:lang w:val="en-US" w:eastAsia="zh-CN"/>
        </w:rPr>
      </w:pPr>
      <w:r>
        <w:rPr>
          <w:rFonts w:hint="eastAsia" w:ascii="仿宋" w:hAnsi="仿宋" w:eastAsia="仿宋"/>
          <w:b/>
          <w:bCs/>
          <w:szCs w:val="21"/>
          <w:lang w:val="en-US" w:eastAsia="zh-CN"/>
        </w:rPr>
        <w:t>三</w:t>
      </w:r>
      <w:r>
        <w:rPr>
          <w:rFonts w:hint="default" w:ascii="仿宋" w:hAnsi="仿宋" w:eastAsia="仿宋"/>
          <w:b/>
          <w:bCs/>
          <w:szCs w:val="21"/>
          <w:lang w:val="en-US" w:eastAsia="zh-CN"/>
        </w:rPr>
        <w:t>、项目管理要求</w:t>
      </w:r>
    </w:p>
    <w:p w14:paraId="7AD56E0D">
      <w:pPr>
        <w:pStyle w:val="2"/>
        <w:rPr>
          <w:rFonts w:hint="default" w:ascii="仿宋" w:hAnsi="仿宋" w:eastAsia="仿宋"/>
          <w:b w:val="0"/>
          <w:bCs w:val="0"/>
          <w:szCs w:val="21"/>
          <w:lang w:val="en-US" w:eastAsia="zh-CN"/>
        </w:rPr>
      </w:pPr>
      <w:r>
        <w:rPr>
          <w:rFonts w:hint="default" w:ascii="仿宋" w:hAnsi="仿宋" w:eastAsia="仿宋"/>
          <w:b w:val="0"/>
          <w:bCs w:val="0"/>
          <w:szCs w:val="21"/>
          <w:lang w:val="en-US" w:eastAsia="zh-CN"/>
        </w:rPr>
        <w:t>（一）项目实施进度要求</w:t>
      </w:r>
    </w:p>
    <w:p w14:paraId="0FFD78B0">
      <w:pPr>
        <w:pStyle w:val="2"/>
        <w:rPr>
          <w:rFonts w:hint="default" w:ascii="仿宋" w:hAnsi="仿宋" w:eastAsia="仿宋"/>
          <w:b w:val="0"/>
          <w:bCs w:val="0"/>
          <w:szCs w:val="21"/>
          <w:lang w:val="en-US" w:eastAsia="zh-CN"/>
        </w:rPr>
      </w:pPr>
      <w:r>
        <w:rPr>
          <w:rFonts w:hint="default" w:ascii="仿宋" w:hAnsi="仿宋" w:eastAsia="仿宋"/>
          <w:b w:val="0"/>
          <w:bCs w:val="0"/>
          <w:szCs w:val="21"/>
          <w:lang w:val="en-US" w:eastAsia="zh-CN"/>
        </w:rPr>
        <w:t>本项目主要建设医院药品批量追溯核对系统项目，项目建设周期预计为</w:t>
      </w:r>
      <w:r>
        <w:rPr>
          <w:rFonts w:hint="eastAsia" w:ascii="仿宋" w:hAnsi="仿宋" w:eastAsia="仿宋"/>
          <w:b w:val="0"/>
          <w:bCs w:val="0"/>
          <w:szCs w:val="21"/>
          <w:lang w:val="en-US" w:eastAsia="zh-CN"/>
        </w:rPr>
        <w:t>15</w:t>
      </w:r>
      <w:r>
        <w:rPr>
          <w:rFonts w:hint="default" w:ascii="仿宋" w:hAnsi="仿宋" w:eastAsia="仿宋"/>
          <w:b w:val="0"/>
          <w:bCs w:val="0"/>
          <w:szCs w:val="21"/>
          <w:lang w:val="en-US" w:eastAsia="zh-CN"/>
        </w:rPr>
        <w:t>天。</w:t>
      </w:r>
    </w:p>
    <w:p w14:paraId="338D714B">
      <w:pPr>
        <w:pStyle w:val="2"/>
        <w:rPr>
          <w:rFonts w:hint="default" w:ascii="仿宋" w:hAnsi="仿宋" w:eastAsia="仿宋"/>
          <w:b w:val="0"/>
          <w:bCs w:val="0"/>
          <w:szCs w:val="21"/>
          <w:lang w:val="en-US" w:eastAsia="zh-CN"/>
        </w:rPr>
      </w:pPr>
      <w:r>
        <w:rPr>
          <w:rFonts w:hint="default" w:ascii="仿宋" w:hAnsi="仿宋" w:eastAsia="仿宋"/>
          <w:b w:val="0"/>
          <w:bCs w:val="0"/>
          <w:szCs w:val="21"/>
          <w:lang w:val="en-US" w:eastAsia="zh-CN"/>
        </w:rPr>
        <w:t>（二）项目工作小组</w:t>
      </w:r>
    </w:p>
    <w:p w14:paraId="381FB837">
      <w:pPr>
        <w:pStyle w:val="2"/>
        <w:rPr>
          <w:rFonts w:hint="default" w:ascii="仿宋" w:hAnsi="仿宋" w:eastAsia="仿宋"/>
          <w:b w:val="0"/>
          <w:bCs w:val="0"/>
          <w:szCs w:val="21"/>
          <w:lang w:val="en-US" w:eastAsia="zh-CN"/>
        </w:rPr>
      </w:pPr>
      <w:r>
        <w:rPr>
          <w:rFonts w:hint="default" w:ascii="仿宋" w:hAnsi="仿宋" w:eastAsia="仿宋"/>
          <w:b w:val="0"/>
          <w:bCs w:val="0"/>
          <w:szCs w:val="21"/>
          <w:lang w:val="en-US" w:eastAsia="zh-CN"/>
        </w:rPr>
        <w:t>供应商需要成立针对本项目工作组，并供货前提供成员名单，包括：</w:t>
      </w:r>
    </w:p>
    <w:p w14:paraId="35907418">
      <w:pPr>
        <w:pStyle w:val="2"/>
        <w:rPr>
          <w:rFonts w:hint="default" w:ascii="仿宋" w:hAnsi="仿宋" w:eastAsia="仿宋"/>
          <w:b w:val="0"/>
          <w:bCs w:val="0"/>
          <w:szCs w:val="21"/>
          <w:lang w:val="en-US" w:eastAsia="zh-CN"/>
        </w:rPr>
      </w:pPr>
      <w:r>
        <w:rPr>
          <w:rFonts w:hint="default" w:ascii="仿宋" w:hAnsi="仿宋" w:eastAsia="仿宋"/>
          <w:b w:val="0"/>
          <w:bCs w:val="0"/>
          <w:szCs w:val="21"/>
          <w:lang w:val="en-US" w:eastAsia="zh-CN"/>
        </w:rPr>
        <w:t>1.项目经理：具有项目管理工作经历，并全权代表供应商执行各项技术及管理工作；</w:t>
      </w:r>
    </w:p>
    <w:p w14:paraId="423C5C32">
      <w:pPr>
        <w:pStyle w:val="2"/>
        <w:rPr>
          <w:rFonts w:hint="default" w:ascii="仿宋" w:hAnsi="仿宋" w:eastAsia="仿宋"/>
          <w:b w:val="0"/>
          <w:bCs w:val="0"/>
          <w:szCs w:val="21"/>
          <w:lang w:val="en-US" w:eastAsia="zh-CN"/>
        </w:rPr>
      </w:pPr>
      <w:r>
        <w:rPr>
          <w:rFonts w:hint="default" w:ascii="仿宋" w:hAnsi="仿宋" w:eastAsia="仿宋"/>
          <w:b w:val="0"/>
          <w:bCs w:val="0"/>
          <w:szCs w:val="21"/>
          <w:lang w:val="en-US" w:eastAsia="zh-CN"/>
        </w:rPr>
        <w:t>2.项目实施人员：项目签约后，供应商保证须提供常驻项目实施人员在医院现场工作，直至项目实施、验收结束。</w:t>
      </w:r>
    </w:p>
    <w:p w14:paraId="5921470F">
      <w:pPr>
        <w:pStyle w:val="2"/>
        <w:rPr>
          <w:rFonts w:hint="default" w:ascii="仿宋" w:hAnsi="仿宋" w:eastAsia="仿宋"/>
          <w:b w:val="0"/>
          <w:bCs w:val="0"/>
          <w:szCs w:val="21"/>
          <w:lang w:val="en-US" w:eastAsia="zh-CN"/>
        </w:rPr>
      </w:pPr>
      <w:r>
        <w:rPr>
          <w:rFonts w:hint="default" w:ascii="仿宋" w:hAnsi="仿宋" w:eastAsia="仿宋"/>
          <w:b w:val="0"/>
          <w:bCs w:val="0"/>
          <w:szCs w:val="21"/>
          <w:lang w:val="en-US" w:eastAsia="zh-CN"/>
        </w:rPr>
        <w:t>3.项目管理与上线支持人员：系统上线期间，供应商保证须提供项目管理与上线支持人员。</w:t>
      </w:r>
    </w:p>
    <w:p w14:paraId="2EE4A2ED">
      <w:pPr>
        <w:pStyle w:val="2"/>
        <w:rPr>
          <w:rFonts w:hint="default" w:ascii="仿宋" w:hAnsi="仿宋" w:eastAsia="仿宋"/>
          <w:b w:val="0"/>
          <w:bCs w:val="0"/>
          <w:szCs w:val="21"/>
          <w:lang w:val="en-US" w:eastAsia="zh-CN"/>
        </w:rPr>
      </w:pPr>
      <w:r>
        <w:rPr>
          <w:rFonts w:hint="default" w:ascii="仿宋" w:hAnsi="仿宋" w:eastAsia="仿宋"/>
          <w:b w:val="0"/>
          <w:bCs w:val="0"/>
          <w:szCs w:val="21"/>
          <w:lang w:val="en-US" w:eastAsia="zh-CN"/>
        </w:rPr>
        <w:t>4.系统运维人员：为保证平台的正常运行，系统上线后，供应商需指定专业人员对接医院技术问题，要求该人员具备分析、处理故障的能力。该人员需长期对本项目负责，如发生人员更换，需提前通知院方。</w:t>
      </w:r>
    </w:p>
    <w:p w14:paraId="267FD7F6">
      <w:pPr>
        <w:pStyle w:val="2"/>
        <w:rPr>
          <w:rFonts w:hint="default" w:ascii="仿宋" w:hAnsi="仿宋" w:eastAsia="仿宋"/>
          <w:b w:val="0"/>
          <w:bCs w:val="0"/>
          <w:szCs w:val="21"/>
          <w:lang w:val="en-US" w:eastAsia="zh-CN"/>
        </w:rPr>
      </w:pPr>
      <w:r>
        <w:rPr>
          <w:rFonts w:hint="default" w:ascii="仿宋" w:hAnsi="仿宋" w:eastAsia="仿宋"/>
          <w:b w:val="0"/>
          <w:bCs w:val="0"/>
          <w:szCs w:val="21"/>
          <w:lang w:val="en-US" w:eastAsia="zh-CN"/>
        </w:rPr>
        <w:t>（三）文档资料管理</w:t>
      </w:r>
    </w:p>
    <w:p w14:paraId="56081E0A">
      <w:pPr>
        <w:pStyle w:val="2"/>
        <w:rPr>
          <w:rFonts w:hint="default" w:ascii="仿宋" w:hAnsi="仿宋" w:eastAsia="仿宋"/>
          <w:b w:val="0"/>
          <w:bCs w:val="0"/>
          <w:szCs w:val="21"/>
          <w:lang w:val="en-US" w:eastAsia="zh-CN"/>
        </w:rPr>
      </w:pPr>
      <w:r>
        <w:rPr>
          <w:rFonts w:hint="default" w:ascii="仿宋" w:hAnsi="仿宋" w:eastAsia="仿宋"/>
          <w:b w:val="0"/>
          <w:bCs w:val="0"/>
          <w:szCs w:val="21"/>
          <w:lang w:val="en-US" w:eastAsia="zh-CN"/>
        </w:rPr>
        <w:t>1.文档是保证项目实施连贯性的重要保证，供应商需要提供完善的文档，并对项目进行过程中的文档进行有效的管理，接受采购人对项目各阶段评估分析和监督管理。</w:t>
      </w:r>
    </w:p>
    <w:p w14:paraId="092AA1DD">
      <w:pPr>
        <w:pStyle w:val="2"/>
        <w:rPr>
          <w:rFonts w:hint="default" w:ascii="仿宋" w:hAnsi="仿宋" w:eastAsia="仿宋"/>
          <w:b w:val="0"/>
          <w:bCs w:val="0"/>
          <w:szCs w:val="21"/>
          <w:lang w:val="en-US" w:eastAsia="zh-CN"/>
        </w:rPr>
      </w:pPr>
      <w:r>
        <w:rPr>
          <w:rFonts w:hint="default" w:ascii="仿宋" w:hAnsi="仿宋" w:eastAsia="仿宋"/>
          <w:b w:val="0"/>
          <w:bCs w:val="0"/>
          <w:szCs w:val="21"/>
          <w:lang w:val="en-US" w:eastAsia="zh-CN"/>
        </w:rPr>
        <w:t>2.整个项目的过程包括后期修改维护提供系统、完整的项目管理、设计和开发、操作说明等书面文档及其电子版。</w:t>
      </w:r>
    </w:p>
    <w:p w14:paraId="7ED51FBE">
      <w:pPr>
        <w:pStyle w:val="2"/>
        <w:rPr>
          <w:rFonts w:hint="default" w:ascii="仿宋" w:hAnsi="仿宋" w:eastAsia="仿宋"/>
          <w:b w:val="0"/>
          <w:bCs w:val="0"/>
          <w:szCs w:val="21"/>
          <w:lang w:val="en-US" w:eastAsia="zh-CN"/>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94564"/>
      <w:docPartObj>
        <w:docPartGallery w:val="autotext"/>
      </w:docPartObj>
    </w:sdtPr>
    <w:sdtContent>
      <w:sdt>
        <w:sdtPr>
          <w:id w:val="171357217"/>
          <w:docPartObj>
            <w:docPartGallery w:val="autotext"/>
          </w:docPartObj>
        </w:sdtPr>
        <w:sdtContent>
          <w:p w14:paraId="2A08810D">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14:paraId="5AC0D8FB">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9"/>
      <w:numFmt w:val="decimal"/>
      <w:pStyle w:val="16"/>
      <w:suff w:val="space"/>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MwZWE0MjdkNmUyYzJlNjJmNTM0ODJjOTJiNjk2Y2IifQ=="/>
  </w:docVars>
  <w:rsids>
    <w:rsidRoot w:val="00424DB4"/>
    <w:rsid w:val="00001318"/>
    <w:rsid w:val="00002283"/>
    <w:rsid w:val="000050A7"/>
    <w:rsid w:val="000053EE"/>
    <w:rsid w:val="00010931"/>
    <w:rsid w:val="00011CA3"/>
    <w:rsid w:val="00023E48"/>
    <w:rsid w:val="00034183"/>
    <w:rsid w:val="00043348"/>
    <w:rsid w:val="0004370B"/>
    <w:rsid w:val="00043D0A"/>
    <w:rsid w:val="00053C66"/>
    <w:rsid w:val="00053F67"/>
    <w:rsid w:val="00055EBF"/>
    <w:rsid w:val="00056058"/>
    <w:rsid w:val="00061DAF"/>
    <w:rsid w:val="0006484E"/>
    <w:rsid w:val="000858E8"/>
    <w:rsid w:val="000867AB"/>
    <w:rsid w:val="000A24D6"/>
    <w:rsid w:val="000A3C7E"/>
    <w:rsid w:val="000C1110"/>
    <w:rsid w:val="000C7CFD"/>
    <w:rsid w:val="000D354B"/>
    <w:rsid w:val="000D514B"/>
    <w:rsid w:val="000D6B6A"/>
    <w:rsid w:val="000F40F9"/>
    <w:rsid w:val="000F729B"/>
    <w:rsid w:val="000F74F7"/>
    <w:rsid w:val="001018DA"/>
    <w:rsid w:val="00103C1B"/>
    <w:rsid w:val="00105146"/>
    <w:rsid w:val="001153A4"/>
    <w:rsid w:val="00116395"/>
    <w:rsid w:val="00120EB8"/>
    <w:rsid w:val="00124B21"/>
    <w:rsid w:val="00127487"/>
    <w:rsid w:val="00136812"/>
    <w:rsid w:val="00147F41"/>
    <w:rsid w:val="001548BF"/>
    <w:rsid w:val="00162A53"/>
    <w:rsid w:val="00165886"/>
    <w:rsid w:val="00165CBE"/>
    <w:rsid w:val="00165F93"/>
    <w:rsid w:val="0017321A"/>
    <w:rsid w:val="0018577B"/>
    <w:rsid w:val="00186D6A"/>
    <w:rsid w:val="00187F24"/>
    <w:rsid w:val="00193FF1"/>
    <w:rsid w:val="00196E0E"/>
    <w:rsid w:val="001A0031"/>
    <w:rsid w:val="001A657D"/>
    <w:rsid w:val="001B0660"/>
    <w:rsid w:val="001B24DD"/>
    <w:rsid w:val="001B56D9"/>
    <w:rsid w:val="001B6813"/>
    <w:rsid w:val="001D4FEB"/>
    <w:rsid w:val="001D54F8"/>
    <w:rsid w:val="001E2B39"/>
    <w:rsid w:val="001F1A74"/>
    <w:rsid w:val="001F2DD0"/>
    <w:rsid w:val="001F34DF"/>
    <w:rsid w:val="001F4EB8"/>
    <w:rsid w:val="001F6DDD"/>
    <w:rsid w:val="00201754"/>
    <w:rsid w:val="00213A9E"/>
    <w:rsid w:val="002160CC"/>
    <w:rsid w:val="002167A8"/>
    <w:rsid w:val="00220DFE"/>
    <w:rsid w:val="002220EC"/>
    <w:rsid w:val="002251AD"/>
    <w:rsid w:val="00226CF3"/>
    <w:rsid w:val="002451BD"/>
    <w:rsid w:val="002643E0"/>
    <w:rsid w:val="00273463"/>
    <w:rsid w:val="0027592C"/>
    <w:rsid w:val="00276C68"/>
    <w:rsid w:val="0028637D"/>
    <w:rsid w:val="00293E71"/>
    <w:rsid w:val="002A1DD3"/>
    <w:rsid w:val="002A7CA5"/>
    <w:rsid w:val="002B077D"/>
    <w:rsid w:val="002C5A78"/>
    <w:rsid w:val="002D3C54"/>
    <w:rsid w:val="002E5FE9"/>
    <w:rsid w:val="002F1DC9"/>
    <w:rsid w:val="002F4594"/>
    <w:rsid w:val="002F46AF"/>
    <w:rsid w:val="003035B7"/>
    <w:rsid w:val="00305A35"/>
    <w:rsid w:val="00307C82"/>
    <w:rsid w:val="0031412D"/>
    <w:rsid w:val="003231BF"/>
    <w:rsid w:val="00397F20"/>
    <w:rsid w:val="003A4ABD"/>
    <w:rsid w:val="003A4DFC"/>
    <w:rsid w:val="003B2393"/>
    <w:rsid w:val="003B5AB4"/>
    <w:rsid w:val="003D4C81"/>
    <w:rsid w:val="003D6E3F"/>
    <w:rsid w:val="003D7845"/>
    <w:rsid w:val="003E0078"/>
    <w:rsid w:val="003E0AE6"/>
    <w:rsid w:val="003E0D05"/>
    <w:rsid w:val="003F1A9D"/>
    <w:rsid w:val="00407847"/>
    <w:rsid w:val="00411CFD"/>
    <w:rsid w:val="00424DB4"/>
    <w:rsid w:val="00445BF7"/>
    <w:rsid w:val="00457EBA"/>
    <w:rsid w:val="004767E6"/>
    <w:rsid w:val="00481DEA"/>
    <w:rsid w:val="004842A3"/>
    <w:rsid w:val="00485FE3"/>
    <w:rsid w:val="004A0993"/>
    <w:rsid w:val="004A5436"/>
    <w:rsid w:val="004B1150"/>
    <w:rsid w:val="004B3164"/>
    <w:rsid w:val="004B3DBC"/>
    <w:rsid w:val="004B5CAC"/>
    <w:rsid w:val="004C1CF2"/>
    <w:rsid w:val="004C4760"/>
    <w:rsid w:val="004C6035"/>
    <w:rsid w:val="004D5C73"/>
    <w:rsid w:val="004E1B33"/>
    <w:rsid w:val="004E2A85"/>
    <w:rsid w:val="00511A86"/>
    <w:rsid w:val="00514522"/>
    <w:rsid w:val="005145B6"/>
    <w:rsid w:val="005155A7"/>
    <w:rsid w:val="005158E8"/>
    <w:rsid w:val="00523A9D"/>
    <w:rsid w:val="0052437C"/>
    <w:rsid w:val="0052798A"/>
    <w:rsid w:val="00545065"/>
    <w:rsid w:val="005612E4"/>
    <w:rsid w:val="00566A3D"/>
    <w:rsid w:val="00575D2D"/>
    <w:rsid w:val="00577E01"/>
    <w:rsid w:val="0058339A"/>
    <w:rsid w:val="00596FF5"/>
    <w:rsid w:val="00597228"/>
    <w:rsid w:val="0059737C"/>
    <w:rsid w:val="005A36BC"/>
    <w:rsid w:val="005A5561"/>
    <w:rsid w:val="005B4E7B"/>
    <w:rsid w:val="005B4F92"/>
    <w:rsid w:val="005D47E2"/>
    <w:rsid w:val="005F0ECD"/>
    <w:rsid w:val="00611588"/>
    <w:rsid w:val="006149F3"/>
    <w:rsid w:val="00630F0B"/>
    <w:rsid w:val="006315D9"/>
    <w:rsid w:val="006425D3"/>
    <w:rsid w:val="00644477"/>
    <w:rsid w:val="00646EFF"/>
    <w:rsid w:val="006472D6"/>
    <w:rsid w:val="0065390A"/>
    <w:rsid w:val="00655DD8"/>
    <w:rsid w:val="0065619A"/>
    <w:rsid w:val="00656F9B"/>
    <w:rsid w:val="00674E19"/>
    <w:rsid w:val="006751A9"/>
    <w:rsid w:val="006A1E6F"/>
    <w:rsid w:val="006A2E83"/>
    <w:rsid w:val="006B00DE"/>
    <w:rsid w:val="006B5D2A"/>
    <w:rsid w:val="006D1CF2"/>
    <w:rsid w:val="006D2949"/>
    <w:rsid w:val="006D5CA6"/>
    <w:rsid w:val="006E3CE4"/>
    <w:rsid w:val="007011B1"/>
    <w:rsid w:val="00703D37"/>
    <w:rsid w:val="00706052"/>
    <w:rsid w:val="007074BD"/>
    <w:rsid w:val="00715BE8"/>
    <w:rsid w:val="0072140C"/>
    <w:rsid w:val="00745B6A"/>
    <w:rsid w:val="007500BF"/>
    <w:rsid w:val="0075154A"/>
    <w:rsid w:val="00757F42"/>
    <w:rsid w:val="00770BFB"/>
    <w:rsid w:val="00772C38"/>
    <w:rsid w:val="00776FB7"/>
    <w:rsid w:val="0077720D"/>
    <w:rsid w:val="0078294C"/>
    <w:rsid w:val="0078396A"/>
    <w:rsid w:val="00783988"/>
    <w:rsid w:val="00791ED1"/>
    <w:rsid w:val="00792F55"/>
    <w:rsid w:val="00796F23"/>
    <w:rsid w:val="007A2200"/>
    <w:rsid w:val="007B2BF5"/>
    <w:rsid w:val="007B44F5"/>
    <w:rsid w:val="007C0F20"/>
    <w:rsid w:val="007C64E2"/>
    <w:rsid w:val="007C77D2"/>
    <w:rsid w:val="007D128C"/>
    <w:rsid w:val="007F1FF3"/>
    <w:rsid w:val="007F72EE"/>
    <w:rsid w:val="0080420A"/>
    <w:rsid w:val="008056D0"/>
    <w:rsid w:val="00811886"/>
    <w:rsid w:val="00824B71"/>
    <w:rsid w:val="00847753"/>
    <w:rsid w:val="00847A3B"/>
    <w:rsid w:val="0085631E"/>
    <w:rsid w:val="00864B32"/>
    <w:rsid w:val="00865BB3"/>
    <w:rsid w:val="00874654"/>
    <w:rsid w:val="00881362"/>
    <w:rsid w:val="00882830"/>
    <w:rsid w:val="00890A8A"/>
    <w:rsid w:val="0089602A"/>
    <w:rsid w:val="008A6728"/>
    <w:rsid w:val="008B0511"/>
    <w:rsid w:val="008B5062"/>
    <w:rsid w:val="008D74CA"/>
    <w:rsid w:val="008F3959"/>
    <w:rsid w:val="008F4405"/>
    <w:rsid w:val="00903E1D"/>
    <w:rsid w:val="00905854"/>
    <w:rsid w:val="0091705B"/>
    <w:rsid w:val="00917314"/>
    <w:rsid w:val="00917684"/>
    <w:rsid w:val="00927E50"/>
    <w:rsid w:val="00932055"/>
    <w:rsid w:val="00934412"/>
    <w:rsid w:val="0094514A"/>
    <w:rsid w:val="0097447A"/>
    <w:rsid w:val="0098543F"/>
    <w:rsid w:val="009865B1"/>
    <w:rsid w:val="00986D55"/>
    <w:rsid w:val="00993FE8"/>
    <w:rsid w:val="00996932"/>
    <w:rsid w:val="009B0355"/>
    <w:rsid w:val="009B36A3"/>
    <w:rsid w:val="009B70B7"/>
    <w:rsid w:val="009E2359"/>
    <w:rsid w:val="009E4466"/>
    <w:rsid w:val="00A024EE"/>
    <w:rsid w:val="00A069B9"/>
    <w:rsid w:val="00A11A36"/>
    <w:rsid w:val="00A46863"/>
    <w:rsid w:val="00A528E9"/>
    <w:rsid w:val="00A669AF"/>
    <w:rsid w:val="00A7303F"/>
    <w:rsid w:val="00A83FE7"/>
    <w:rsid w:val="00A9205C"/>
    <w:rsid w:val="00A92F2C"/>
    <w:rsid w:val="00A9357B"/>
    <w:rsid w:val="00A9700C"/>
    <w:rsid w:val="00AA0C5C"/>
    <w:rsid w:val="00AB75E3"/>
    <w:rsid w:val="00AC18B2"/>
    <w:rsid w:val="00AD049E"/>
    <w:rsid w:val="00AD5396"/>
    <w:rsid w:val="00AD7B1E"/>
    <w:rsid w:val="00AE264C"/>
    <w:rsid w:val="00AE65B2"/>
    <w:rsid w:val="00AF1D3E"/>
    <w:rsid w:val="00B110AE"/>
    <w:rsid w:val="00B117A1"/>
    <w:rsid w:val="00B21A8C"/>
    <w:rsid w:val="00B2560D"/>
    <w:rsid w:val="00B25C0A"/>
    <w:rsid w:val="00B41383"/>
    <w:rsid w:val="00B42CFE"/>
    <w:rsid w:val="00B43273"/>
    <w:rsid w:val="00B43844"/>
    <w:rsid w:val="00B4445A"/>
    <w:rsid w:val="00B4619C"/>
    <w:rsid w:val="00B51795"/>
    <w:rsid w:val="00B51940"/>
    <w:rsid w:val="00B62D53"/>
    <w:rsid w:val="00B73A12"/>
    <w:rsid w:val="00B90A21"/>
    <w:rsid w:val="00BA2652"/>
    <w:rsid w:val="00BA62D7"/>
    <w:rsid w:val="00BB301F"/>
    <w:rsid w:val="00BC7640"/>
    <w:rsid w:val="00BD03D9"/>
    <w:rsid w:val="00BD5665"/>
    <w:rsid w:val="00BD64AD"/>
    <w:rsid w:val="00BF09B8"/>
    <w:rsid w:val="00BF0DCA"/>
    <w:rsid w:val="00BF2461"/>
    <w:rsid w:val="00BF7063"/>
    <w:rsid w:val="00C015AC"/>
    <w:rsid w:val="00C02E61"/>
    <w:rsid w:val="00C0314C"/>
    <w:rsid w:val="00C1190C"/>
    <w:rsid w:val="00C12783"/>
    <w:rsid w:val="00C2617D"/>
    <w:rsid w:val="00C3081E"/>
    <w:rsid w:val="00C33276"/>
    <w:rsid w:val="00C431F3"/>
    <w:rsid w:val="00C46D12"/>
    <w:rsid w:val="00C536E0"/>
    <w:rsid w:val="00C53BAD"/>
    <w:rsid w:val="00C5766B"/>
    <w:rsid w:val="00C635B8"/>
    <w:rsid w:val="00C6413C"/>
    <w:rsid w:val="00C76482"/>
    <w:rsid w:val="00C91F49"/>
    <w:rsid w:val="00C93FD2"/>
    <w:rsid w:val="00C942E1"/>
    <w:rsid w:val="00CA11F9"/>
    <w:rsid w:val="00CA4609"/>
    <w:rsid w:val="00CC277B"/>
    <w:rsid w:val="00CE0038"/>
    <w:rsid w:val="00CE7DE7"/>
    <w:rsid w:val="00CF101E"/>
    <w:rsid w:val="00CF5F8A"/>
    <w:rsid w:val="00CF79D1"/>
    <w:rsid w:val="00D0249F"/>
    <w:rsid w:val="00D122B3"/>
    <w:rsid w:val="00D27B75"/>
    <w:rsid w:val="00D27C90"/>
    <w:rsid w:val="00D303AF"/>
    <w:rsid w:val="00D43C95"/>
    <w:rsid w:val="00D51D39"/>
    <w:rsid w:val="00D535B5"/>
    <w:rsid w:val="00D53FD5"/>
    <w:rsid w:val="00D668DA"/>
    <w:rsid w:val="00D7257F"/>
    <w:rsid w:val="00D80CC2"/>
    <w:rsid w:val="00DA4FE2"/>
    <w:rsid w:val="00DB09D0"/>
    <w:rsid w:val="00DB3885"/>
    <w:rsid w:val="00DD5B7C"/>
    <w:rsid w:val="00DD79ED"/>
    <w:rsid w:val="00DF3FEC"/>
    <w:rsid w:val="00E0491B"/>
    <w:rsid w:val="00E04C87"/>
    <w:rsid w:val="00E20590"/>
    <w:rsid w:val="00E2199E"/>
    <w:rsid w:val="00E26EB1"/>
    <w:rsid w:val="00E27736"/>
    <w:rsid w:val="00E3091F"/>
    <w:rsid w:val="00E35D35"/>
    <w:rsid w:val="00E42660"/>
    <w:rsid w:val="00E44632"/>
    <w:rsid w:val="00E5252D"/>
    <w:rsid w:val="00E53B0F"/>
    <w:rsid w:val="00E60E8E"/>
    <w:rsid w:val="00E62C04"/>
    <w:rsid w:val="00E713B4"/>
    <w:rsid w:val="00E762F5"/>
    <w:rsid w:val="00E77981"/>
    <w:rsid w:val="00E83046"/>
    <w:rsid w:val="00E86D0C"/>
    <w:rsid w:val="00EA6D84"/>
    <w:rsid w:val="00EB5340"/>
    <w:rsid w:val="00EB7E92"/>
    <w:rsid w:val="00EC0382"/>
    <w:rsid w:val="00EC45C7"/>
    <w:rsid w:val="00EC61EC"/>
    <w:rsid w:val="00EC6457"/>
    <w:rsid w:val="00ED4994"/>
    <w:rsid w:val="00ED6ABB"/>
    <w:rsid w:val="00EE67EB"/>
    <w:rsid w:val="00EE7835"/>
    <w:rsid w:val="00EF2765"/>
    <w:rsid w:val="00EF2F2B"/>
    <w:rsid w:val="00EF39C8"/>
    <w:rsid w:val="00EF6BE6"/>
    <w:rsid w:val="00F00F2B"/>
    <w:rsid w:val="00F154E9"/>
    <w:rsid w:val="00F20717"/>
    <w:rsid w:val="00F26589"/>
    <w:rsid w:val="00F37FC0"/>
    <w:rsid w:val="00F63443"/>
    <w:rsid w:val="00F65364"/>
    <w:rsid w:val="00F7717C"/>
    <w:rsid w:val="00F86F94"/>
    <w:rsid w:val="00F9157F"/>
    <w:rsid w:val="00FA2E94"/>
    <w:rsid w:val="00FB550C"/>
    <w:rsid w:val="00FB5CEF"/>
    <w:rsid w:val="00FC25F4"/>
    <w:rsid w:val="00FD192E"/>
    <w:rsid w:val="00FD1B59"/>
    <w:rsid w:val="00FE5B5E"/>
    <w:rsid w:val="00FE5E56"/>
    <w:rsid w:val="00FF5778"/>
    <w:rsid w:val="015121CF"/>
    <w:rsid w:val="017E0025"/>
    <w:rsid w:val="018A4310"/>
    <w:rsid w:val="01D30D51"/>
    <w:rsid w:val="026E2AF7"/>
    <w:rsid w:val="028C3AAC"/>
    <w:rsid w:val="02FD2A99"/>
    <w:rsid w:val="03162918"/>
    <w:rsid w:val="03250779"/>
    <w:rsid w:val="032A2E76"/>
    <w:rsid w:val="032F53C7"/>
    <w:rsid w:val="03C97D13"/>
    <w:rsid w:val="03D80B70"/>
    <w:rsid w:val="046F708F"/>
    <w:rsid w:val="047A164B"/>
    <w:rsid w:val="047C479E"/>
    <w:rsid w:val="04BE4ABB"/>
    <w:rsid w:val="04DC0C65"/>
    <w:rsid w:val="056B1321"/>
    <w:rsid w:val="058F7ED5"/>
    <w:rsid w:val="05A625A8"/>
    <w:rsid w:val="05B61689"/>
    <w:rsid w:val="064A2CE4"/>
    <w:rsid w:val="06A72333"/>
    <w:rsid w:val="06F66A9B"/>
    <w:rsid w:val="079C369B"/>
    <w:rsid w:val="07AF1FB4"/>
    <w:rsid w:val="07D72EEC"/>
    <w:rsid w:val="080C3738"/>
    <w:rsid w:val="081F2DB2"/>
    <w:rsid w:val="086253B7"/>
    <w:rsid w:val="086504F8"/>
    <w:rsid w:val="091329AD"/>
    <w:rsid w:val="09135C29"/>
    <w:rsid w:val="0A1730E8"/>
    <w:rsid w:val="0A203C23"/>
    <w:rsid w:val="0AB32F3C"/>
    <w:rsid w:val="0AC56166"/>
    <w:rsid w:val="0AD93162"/>
    <w:rsid w:val="0AFC6D92"/>
    <w:rsid w:val="0B1F4CC9"/>
    <w:rsid w:val="0B4418D4"/>
    <w:rsid w:val="0BBB58C2"/>
    <w:rsid w:val="0C0F5353"/>
    <w:rsid w:val="0C32096A"/>
    <w:rsid w:val="0C476F17"/>
    <w:rsid w:val="0C7E360B"/>
    <w:rsid w:val="0C820673"/>
    <w:rsid w:val="0C9B1482"/>
    <w:rsid w:val="0D485FCF"/>
    <w:rsid w:val="0D5D409D"/>
    <w:rsid w:val="0D86358A"/>
    <w:rsid w:val="0E0B2DA3"/>
    <w:rsid w:val="0EEF0F83"/>
    <w:rsid w:val="0F014E92"/>
    <w:rsid w:val="0F1E3A54"/>
    <w:rsid w:val="0F3C791F"/>
    <w:rsid w:val="0F966E56"/>
    <w:rsid w:val="0FE443F8"/>
    <w:rsid w:val="10551A84"/>
    <w:rsid w:val="105E5829"/>
    <w:rsid w:val="107D4AA0"/>
    <w:rsid w:val="10B05A5F"/>
    <w:rsid w:val="10FD56B0"/>
    <w:rsid w:val="11035FCE"/>
    <w:rsid w:val="11286FF8"/>
    <w:rsid w:val="11A33589"/>
    <w:rsid w:val="11C40F77"/>
    <w:rsid w:val="11CC15E8"/>
    <w:rsid w:val="11CC5345"/>
    <w:rsid w:val="12374B2C"/>
    <w:rsid w:val="1238648A"/>
    <w:rsid w:val="12454614"/>
    <w:rsid w:val="124F493A"/>
    <w:rsid w:val="125A4762"/>
    <w:rsid w:val="12893951"/>
    <w:rsid w:val="12DE5A9C"/>
    <w:rsid w:val="13334A49"/>
    <w:rsid w:val="13611B4B"/>
    <w:rsid w:val="13753887"/>
    <w:rsid w:val="137B6A6E"/>
    <w:rsid w:val="138A39DE"/>
    <w:rsid w:val="13A80EEF"/>
    <w:rsid w:val="13C733D2"/>
    <w:rsid w:val="147D52F1"/>
    <w:rsid w:val="148F683D"/>
    <w:rsid w:val="14CF6BB1"/>
    <w:rsid w:val="15325208"/>
    <w:rsid w:val="155A79E0"/>
    <w:rsid w:val="15BD705A"/>
    <w:rsid w:val="15D10D8D"/>
    <w:rsid w:val="15E33C23"/>
    <w:rsid w:val="16CC4399"/>
    <w:rsid w:val="17091AEE"/>
    <w:rsid w:val="17461E90"/>
    <w:rsid w:val="177719DE"/>
    <w:rsid w:val="177C4762"/>
    <w:rsid w:val="177F0D6A"/>
    <w:rsid w:val="17FA25E5"/>
    <w:rsid w:val="1899778B"/>
    <w:rsid w:val="18D4649C"/>
    <w:rsid w:val="18D56FD4"/>
    <w:rsid w:val="193F0899"/>
    <w:rsid w:val="1A0260CE"/>
    <w:rsid w:val="1A652E65"/>
    <w:rsid w:val="1A7937AC"/>
    <w:rsid w:val="1A8F6DD6"/>
    <w:rsid w:val="1AC057F3"/>
    <w:rsid w:val="1B101758"/>
    <w:rsid w:val="1B9F31F9"/>
    <w:rsid w:val="1BD75F88"/>
    <w:rsid w:val="1BD91B12"/>
    <w:rsid w:val="1BEF2AA3"/>
    <w:rsid w:val="1C9571A6"/>
    <w:rsid w:val="1D2B387D"/>
    <w:rsid w:val="1D3A482F"/>
    <w:rsid w:val="1D5D0BCD"/>
    <w:rsid w:val="1DA42EB1"/>
    <w:rsid w:val="1DE06805"/>
    <w:rsid w:val="1DF36129"/>
    <w:rsid w:val="1DF93C7B"/>
    <w:rsid w:val="1E41352B"/>
    <w:rsid w:val="1EA53CFF"/>
    <w:rsid w:val="1F186F98"/>
    <w:rsid w:val="1FCB2AEC"/>
    <w:rsid w:val="1FDF6783"/>
    <w:rsid w:val="209C2D0F"/>
    <w:rsid w:val="20AE1D18"/>
    <w:rsid w:val="20B120D5"/>
    <w:rsid w:val="20C0486A"/>
    <w:rsid w:val="20CC5612"/>
    <w:rsid w:val="21156130"/>
    <w:rsid w:val="219B39E2"/>
    <w:rsid w:val="21C645C7"/>
    <w:rsid w:val="21D63524"/>
    <w:rsid w:val="221F22B3"/>
    <w:rsid w:val="2233022B"/>
    <w:rsid w:val="22421C49"/>
    <w:rsid w:val="22426CD1"/>
    <w:rsid w:val="229131B3"/>
    <w:rsid w:val="22E90E34"/>
    <w:rsid w:val="22FB3ADB"/>
    <w:rsid w:val="23035A4C"/>
    <w:rsid w:val="231D1DD1"/>
    <w:rsid w:val="233B51A7"/>
    <w:rsid w:val="235130BE"/>
    <w:rsid w:val="23EE25BB"/>
    <w:rsid w:val="23F938FE"/>
    <w:rsid w:val="25052E0F"/>
    <w:rsid w:val="25552E7D"/>
    <w:rsid w:val="25720D38"/>
    <w:rsid w:val="25CB2A80"/>
    <w:rsid w:val="25E05DF6"/>
    <w:rsid w:val="263225F6"/>
    <w:rsid w:val="264C3185"/>
    <w:rsid w:val="27E16F51"/>
    <w:rsid w:val="27FD740B"/>
    <w:rsid w:val="28102089"/>
    <w:rsid w:val="28632016"/>
    <w:rsid w:val="2873238A"/>
    <w:rsid w:val="28C732A1"/>
    <w:rsid w:val="28CA467C"/>
    <w:rsid w:val="28F516D7"/>
    <w:rsid w:val="29194CF5"/>
    <w:rsid w:val="295E6B72"/>
    <w:rsid w:val="29977838"/>
    <w:rsid w:val="29EE439A"/>
    <w:rsid w:val="2A1C3CD3"/>
    <w:rsid w:val="2AC8553F"/>
    <w:rsid w:val="2B914D75"/>
    <w:rsid w:val="2BE07BE3"/>
    <w:rsid w:val="2C2C2704"/>
    <w:rsid w:val="2C6E3570"/>
    <w:rsid w:val="2CAF5180"/>
    <w:rsid w:val="2CB30A73"/>
    <w:rsid w:val="2CBF2091"/>
    <w:rsid w:val="2D286742"/>
    <w:rsid w:val="2D542A2A"/>
    <w:rsid w:val="2D656A67"/>
    <w:rsid w:val="2E19748C"/>
    <w:rsid w:val="2E4209D9"/>
    <w:rsid w:val="2E616B37"/>
    <w:rsid w:val="2EFB29F1"/>
    <w:rsid w:val="2F1E291D"/>
    <w:rsid w:val="2F620C2E"/>
    <w:rsid w:val="2FD951A4"/>
    <w:rsid w:val="2FE75B13"/>
    <w:rsid w:val="30042440"/>
    <w:rsid w:val="30467FFD"/>
    <w:rsid w:val="3069004A"/>
    <w:rsid w:val="30696528"/>
    <w:rsid w:val="30716F06"/>
    <w:rsid w:val="30B13EB7"/>
    <w:rsid w:val="30E600AF"/>
    <w:rsid w:val="30F17F41"/>
    <w:rsid w:val="311938B0"/>
    <w:rsid w:val="315B210C"/>
    <w:rsid w:val="3164112A"/>
    <w:rsid w:val="317F1D7B"/>
    <w:rsid w:val="31CC76FF"/>
    <w:rsid w:val="31F172F6"/>
    <w:rsid w:val="32905CAB"/>
    <w:rsid w:val="32B51A27"/>
    <w:rsid w:val="32FA6504"/>
    <w:rsid w:val="330A11E9"/>
    <w:rsid w:val="335210D7"/>
    <w:rsid w:val="33D54BEA"/>
    <w:rsid w:val="34E12746"/>
    <w:rsid w:val="355A5092"/>
    <w:rsid w:val="356C1CB1"/>
    <w:rsid w:val="357E5017"/>
    <w:rsid w:val="358D3127"/>
    <w:rsid w:val="35A119F9"/>
    <w:rsid w:val="35E52E60"/>
    <w:rsid w:val="362339C7"/>
    <w:rsid w:val="363B2715"/>
    <w:rsid w:val="367F3DA1"/>
    <w:rsid w:val="36AC7731"/>
    <w:rsid w:val="36F1454D"/>
    <w:rsid w:val="37712166"/>
    <w:rsid w:val="37CF3484"/>
    <w:rsid w:val="37D710BC"/>
    <w:rsid w:val="37E17463"/>
    <w:rsid w:val="384637F8"/>
    <w:rsid w:val="38DC31DA"/>
    <w:rsid w:val="3A2B484E"/>
    <w:rsid w:val="3A636FDD"/>
    <w:rsid w:val="3A7537C9"/>
    <w:rsid w:val="3A9C74FA"/>
    <w:rsid w:val="3B126CF0"/>
    <w:rsid w:val="3B354EAA"/>
    <w:rsid w:val="3B927DA6"/>
    <w:rsid w:val="3BC12604"/>
    <w:rsid w:val="3BFB2829"/>
    <w:rsid w:val="3C36245C"/>
    <w:rsid w:val="3C5820D4"/>
    <w:rsid w:val="3C5D298C"/>
    <w:rsid w:val="3C60338E"/>
    <w:rsid w:val="3C840FCA"/>
    <w:rsid w:val="3CA90ECD"/>
    <w:rsid w:val="3CAE4D3F"/>
    <w:rsid w:val="3D3943C1"/>
    <w:rsid w:val="3DAC214A"/>
    <w:rsid w:val="3DBA0CE8"/>
    <w:rsid w:val="3DC926AD"/>
    <w:rsid w:val="3E291783"/>
    <w:rsid w:val="3F253EC2"/>
    <w:rsid w:val="3FDE6FD5"/>
    <w:rsid w:val="400B6ED4"/>
    <w:rsid w:val="4015650F"/>
    <w:rsid w:val="40676830"/>
    <w:rsid w:val="40F06215"/>
    <w:rsid w:val="411101D9"/>
    <w:rsid w:val="41120516"/>
    <w:rsid w:val="41391759"/>
    <w:rsid w:val="415E262D"/>
    <w:rsid w:val="41910EE4"/>
    <w:rsid w:val="41B80523"/>
    <w:rsid w:val="41BC551E"/>
    <w:rsid w:val="421279E6"/>
    <w:rsid w:val="423F3439"/>
    <w:rsid w:val="42611F54"/>
    <w:rsid w:val="427E62A6"/>
    <w:rsid w:val="42985C27"/>
    <w:rsid w:val="42C1143C"/>
    <w:rsid w:val="42D57D44"/>
    <w:rsid w:val="434D63C0"/>
    <w:rsid w:val="434D745C"/>
    <w:rsid w:val="43E95815"/>
    <w:rsid w:val="44364CD0"/>
    <w:rsid w:val="44472C6C"/>
    <w:rsid w:val="448E1FA2"/>
    <w:rsid w:val="452B2802"/>
    <w:rsid w:val="457F7ACC"/>
    <w:rsid w:val="46C2238E"/>
    <w:rsid w:val="46FB6035"/>
    <w:rsid w:val="47AF3639"/>
    <w:rsid w:val="47B26F7D"/>
    <w:rsid w:val="47D705B0"/>
    <w:rsid w:val="480F1E94"/>
    <w:rsid w:val="482F7F71"/>
    <w:rsid w:val="48AA70D7"/>
    <w:rsid w:val="48C0669E"/>
    <w:rsid w:val="48D611CF"/>
    <w:rsid w:val="48D85FE9"/>
    <w:rsid w:val="48DB6BC0"/>
    <w:rsid w:val="48E94455"/>
    <w:rsid w:val="49330904"/>
    <w:rsid w:val="49551A36"/>
    <w:rsid w:val="49B42FE5"/>
    <w:rsid w:val="49B63AD6"/>
    <w:rsid w:val="49D41D01"/>
    <w:rsid w:val="49DA5AB1"/>
    <w:rsid w:val="4B683C0F"/>
    <w:rsid w:val="4B815160"/>
    <w:rsid w:val="4BBB64D2"/>
    <w:rsid w:val="4BBC17AA"/>
    <w:rsid w:val="4C250F27"/>
    <w:rsid w:val="4C7235CD"/>
    <w:rsid w:val="4CFC11EA"/>
    <w:rsid w:val="4D0000F3"/>
    <w:rsid w:val="4D225F85"/>
    <w:rsid w:val="4D2E6FC3"/>
    <w:rsid w:val="4D3F1A54"/>
    <w:rsid w:val="4D491AF0"/>
    <w:rsid w:val="4D4A1B0C"/>
    <w:rsid w:val="4DAE1E85"/>
    <w:rsid w:val="4DC376D1"/>
    <w:rsid w:val="4E682070"/>
    <w:rsid w:val="4E914C57"/>
    <w:rsid w:val="4F413B09"/>
    <w:rsid w:val="4F792DCA"/>
    <w:rsid w:val="4F8F10A2"/>
    <w:rsid w:val="4F9D25EA"/>
    <w:rsid w:val="4FAA2E71"/>
    <w:rsid w:val="4FE70DC0"/>
    <w:rsid w:val="503B0D85"/>
    <w:rsid w:val="51195F62"/>
    <w:rsid w:val="51214A1C"/>
    <w:rsid w:val="51B6537D"/>
    <w:rsid w:val="51D60BAD"/>
    <w:rsid w:val="51E85918"/>
    <w:rsid w:val="526B785D"/>
    <w:rsid w:val="529A4E08"/>
    <w:rsid w:val="53054F9F"/>
    <w:rsid w:val="53351597"/>
    <w:rsid w:val="53633748"/>
    <w:rsid w:val="538E7F97"/>
    <w:rsid w:val="53F31105"/>
    <w:rsid w:val="54665390"/>
    <w:rsid w:val="54777B6E"/>
    <w:rsid w:val="54796820"/>
    <w:rsid w:val="5490517C"/>
    <w:rsid w:val="54DF553D"/>
    <w:rsid w:val="556B4EDD"/>
    <w:rsid w:val="55DD08C4"/>
    <w:rsid w:val="560343FB"/>
    <w:rsid w:val="56466840"/>
    <w:rsid w:val="565C5E10"/>
    <w:rsid w:val="56605C0D"/>
    <w:rsid w:val="566C55F5"/>
    <w:rsid w:val="568C5B7C"/>
    <w:rsid w:val="5719718C"/>
    <w:rsid w:val="576F4F06"/>
    <w:rsid w:val="58780095"/>
    <w:rsid w:val="58F451C8"/>
    <w:rsid w:val="599704D6"/>
    <w:rsid w:val="5B1220CD"/>
    <w:rsid w:val="5B2F1CB7"/>
    <w:rsid w:val="5BF92FB6"/>
    <w:rsid w:val="5C207A49"/>
    <w:rsid w:val="5C451348"/>
    <w:rsid w:val="5C6E4D42"/>
    <w:rsid w:val="5D191F67"/>
    <w:rsid w:val="5D40525F"/>
    <w:rsid w:val="5D433C9B"/>
    <w:rsid w:val="5DC934C7"/>
    <w:rsid w:val="5DE61BB4"/>
    <w:rsid w:val="5DE921E3"/>
    <w:rsid w:val="5E025F34"/>
    <w:rsid w:val="5E5B76CA"/>
    <w:rsid w:val="5E6957E0"/>
    <w:rsid w:val="5EAF49FF"/>
    <w:rsid w:val="5EB005A8"/>
    <w:rsid w:val="5ED457C4"/>
    <w:rsid w:val="5F36302E"/>
    <w:rsid w:val="5F5D4F94"/>
    <w:rsid w:val="600E2F0E"/>
    <w:rsid w:val="60A0128E"/>
    <w:rsid w:val="613D6F0C"/>
    <w:rsid w:val="61563EDB"/>
    <w:rsid w:val="61606110"/>
    <w:rsid w:val="616B2C59"/>
    <w:rsid w:val="618B5A4F"/>
    <w:rsid w:val="61C35ECC"/>
    <w:rsid w:val="6200624D"/>
    <w:rsid w:val="622412A8"/>
    <w:rsid w:val="624152A8"/>
    <w:rsid w:val="62717F29"/>
    <w:rsid w:val="62C959F4"/>
    <w:rsid w:val="6431737D"/>
    <w:rsid w:val="64491E06"/>
    <w:rsid w:val="65351D88"/>
    <w:rsid w:val="653D28FB"/>
    <w:rsid w:val="653F0AED"/>
    <w:rsid w:val="65483BE2"/>
    <w:rsid w:val="65BB2EF6"/>
    <w:rsid w:val="65D82B19"/>
    <w:rsid w:val="65E7565B"/>
    <w:rsid w:val="65F32E35"/>
    <w:rsid w:val="666E3111"/>
    <w:rsid w:val="66B90AD6"/>
    <w:rsid w:val="66F34A45"/>
    <w:rsid w:val="67096872"/>
    <w:rsid w:val="672166AA"/>
    <w:rsid w:val="673F51FA"/>
    <w:rsid w:val="681D4ECB"/>
    <w:rsid w:val="689F687A"/>
    <w:rsid w:val="68A270ED"/>
    <w:rsid w:val="68F64B7B"/>
    <w:rsid w:val="69993FC4"/>
    <w:rsid w:val="69C433F1"/>
    <w:rsid w:val="6A163EBE"/>
    <w:rsid w:val="6A656DD9"/>
    <w:rsid w:val="6B0928F1"/>
    <w:rsid w:val="6B763559"/>
    <w:rsid w:val="6BA52303"/>
    <w:rsid w:val="6BE3402B"/>
    <w:rsid w:val="6C7F08A6"/>
    <w:rsid w:val="6CBA018C"/>
    <w:rsid w:val="6CD67BD4"/>
    <w:rsid w:val="6D302D7C"/>
    <w:rsid w:val="6D392803"/>
    <w:rsid w:val="6D9E2518"/>
    <w:rsid w:val="6DBA7B46"/>
    <w:rsid w:val="6E77495A"/>
    <w:rsid w:val="6EAF635F"/>
    <w:rsid w:val="6EC800BC"/>
    <w:rsid w:val="6FB73BE7"/>
    <w:rsid w:val="6FC74F89"/>
    <w:rsid w:val="6FC82399"/>
    <w:rsid w:val="6FE93FCD"/>
    <w:rsid w:val="70120CD3"/>
    <w:rsid w:val="705B2C76"/>
    <w:rsid w:val="70CB34AB"/>
    <w:rsid w:val="70F17567"/>
    <w:rsid w:val="710A4F1D"/>
    <w:rsid w:val="71685DAD"/>
    <w:rsid w:val="718E6436"/>
    <w:rsid w:val="725F012C"/>
    <w:rsid w:val="727A01CC"/>
    <w:rsid w:val="72FD5CB8"/>
    <w:rsid w:val="73452A90"/>
    <w:rsid w:val="73586019"/>
    <w:rsid w:val="736E6F41"/>
    <w:rsid w:val="7388146D"/>
    <w:rsid w:val="73CC6079"/>
    <w:rsid w:val="73DF5EF1"/>
    <w:rsid w:val="74CF4AFC"/>
    <w:rsid w:val="751E4CA6"/>
    <w:rsid w:val="753A5E46"/>
    <w:rsid w:val="7550035E"/>
    <w:rsid w:val="758A45B5"/>
    <w:rsid w:val="759D5A90"/>
    <w:rsid w:val="75A1160C"/>
    <w:rsid w:val="75F0684F"/>
    <w:rsid w:val="75F56E68"/>
    <w:rsid w:val="768840AF"/>
    <w:rsid w:val="76A81B2B"/>
    <w:rsid w:val="76EA5E9C"/>
    <w:rsid w:val="771C3B7F"/>
    <w:rsid w:val="77570EBD"/>
    <w:rsid w:val="77F86EC8"/>
    <w:rsid w:val="781028F2"/>
    <w:rsid w:val="781E605F"/>
    <w:rsid w:val="788A1EBA"/>
    <w:rsid w:val="78C402EA"/>
    <w:rsid w:val="7924125A"/>
    <w:rsid w:val="792E0F27"/>
    <w:rsid w:val="79627EE8"/>
    <w:rsid w:val="797B7BE6"/>
    <w:rsid w:val="799E4500"/>
    <w:rsid w:val="79FB08F2"/>
    <w:rsid w:val="7A6D1745"/>
    <w:rsid w:val="7A8D0632"/>
    <w:rsid w:val="7A8E45BE"/>
    <w:rsid w:val="7BDD0B1E"/>
    <w:rsid w:val="7C366122"/>
    <w:rsid w:val="7C693CA2"/>
    <w:rsid w:val="7C7062B2"/>
    <w:rsid w:val="7D4E23DA"/>
    <w:rsid w:val="7E3452EF"/>
    <w:rsid w:val="7E6601F9"/>
    <w:rsid w:val="7EC42D4A"/>
    <w:rsid w:val="7EE97DD9"/>
    <w:rsid w:val="7EF02F3D"/>
    <w:rsid w:val="7F8B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4">
    <w:name w:val="Normal Indent"/>
    <w:basedOn w:val="1"/>
    <w:autoRedefine/>
    <w:qFormat/>
    <w:uiPriority w:val="0"/>
    <w:pPr>
      <w:ind w:firstLine="420"/>
    </w:pPr>
    <w:rPr>
      <w:rFonts w:ascii="Calibri" w:hAnsi="Calibri" w:eastAsia="宋体" w:cs="Times New Roman"/>
    </w:rPr>
  </w:style>
  <w:style w:type="paragraph" w:styleId="5">
    <w:name w:val="Body Text 3"/>
    <w:basedOn w:val="1"/>
    <w:unhideWhenUsed/>
    <w:qFormat/>
    <w:uiPriority w:val="99"/>
    <w:pPr>
      <w:spacing w:after="120"/>
    </w:pPr>
    <w:rPr>
      <w:rFonts w:ascii="Calibri" w:hAnsi="Calibri"/>
      <w:sz w:val="16"/>
      <w:szCs w:val="16"/>
      <w:lang w:val="zh-CN"/>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autoRedefine/>
    <w:unhideWhenUsed/>
    <w:qFormat/>
    <w:uiPriority w:val="99"/>
    <w:pPr>
      <w:ind w:firstLine="420" w:firstLineChars="100"/>
    </w:pPr>
    <w:rPr>
      <w:rFonts w:ascii="Times New Roman" w:hAnsi="Times New Roman"/>
      <w:kern w:val="0"/>
      <w:sz w:val="20"/>
      <w:szCs w:val="20"/>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2">
    <w:name w:val="style4"/>
    <w:basedOn w:val="1"/>
    <w:next w:val="13"/>
    <w:autoRedefine/>
    <w:qFormat/>
    <w:uiPriority w:val="0"/>
    <w:pPr>
      <w:widowControl/>
      <w:spacing w:before="280" w:after="280"/>
    </w:pPr>
    <w:rPr>
      <w:rFonts w:ascii="宋体" w:hAnsi="Times New Roman" w:eastAsia="宋体" w:cs="Times New Roman"/>
      <w:sz w:val="18"/>
    </w:rPr>
  </w:style>
  <w:style w:type="paragraph" w:customStyle="1" w:styleId="13">
    <w:name w:val="2"/>
    <w:next w:val="1"/>
    <w:autoRedefine/>
    <w:qFormat/>
    <w:uiPriority w:val="0"/>
    <w:pPr>
      <w:widowControl w:val="0"/>
      <w:jc w:val="both"/>
    </w:pPr>
    <w:rPr>
      <w:rFonts w:ascii="Calibri" w:hAnsi="Calibri" w:eastAsia="宋体" w:cs="Times New Roman"/>
      <w:sz w:val="21"/>
      <w:szCs w:val="22"/>
      <w:lang w:val="en-US" w:eastAsia="zh-CN" w:bidi="ar-SA"/>
    </w:rPr>
  </w:style>
  <w:style w:type="character" w:customStyle="1" w:styleId="14">
    <w:name w:val="页眉 Char"/>
    <w:basedOn w:val="11"/>
    <w:link w:val="7"/>
    <w:autoRedefine/>
    <w:semiHidden/>
    <w:qFormat/>
    <w:uiPriority w:val="99"/>
    <w:rPr>
      <w:sz w:val="18"/>
      <w:szCs w:val="18"/>
    </w:rPr>
  </w:style>
  <w:style w:type="character" w:customStyle="1" w:styleId="15">
    <w:name w:val="页脚 Char"/>
    <w:basedOn w:val="11"/>
    <w:link w:val="6"/>
    <w:autoRedefine/>
    <w:qFormat/>
    <w:uiPriority w:val="99"/>
    <w:rPr>
      <w:sz w:val="18"/>
      <w:szCs w:val="18"/>
    </w:rPr>
  </w:style>
  <w:style w:type="paragraph" w:customStyle="1" w:styleId="16">
    <w:name w:val="正文1"/>
    <w:basedOn w:val="1"/>
    <w:autoRedefine/>
    <w:qFormat/>
    <w:uiPriority w:val="0"/>
    <w:pPr>
      <w:numPr>
        <w:ilvl w:val="0"/>
        <w:numId w:val="1"/>
      </w:numPr>
      <w:tabs>
        <w:tab w:val="left" w:pos="360"/>
      </w:tabs>
      <w:spacing w:line="360" w:lineRule="auto"/>
      <w:ind w:left="357" w:hanging="357"/>
    </w:pPr>
    <w:rPr>
      <w:rFonts w:ascii="宋体" w:hAnsi="宋体" w:eastAsia="宋体" w:cs="Times New Roman"/>
      <w:color w:val="FF0000"/>
      <w:szCs w:val="24"/>
    </w:rPr>
  </w:style>
  <w:style w:type="character" w:customStyle="1" w:styleId="17">
    <w:name w:val="NormalCharacter"/>
    <w:autoRedefine/>
    <w:qFormat/>
    <w:uiPriority w:val="0"/>
  </w:style>
  <w:style w:type="paragraph" w:customStyle="1" w:styleId="18">
    <w:name w:val="Table Paragraph"/>
    <w:basedOn w:val="1"/>
    <w:autoRedefine/>
    <w:qFormat/>
    <w:uiPriority w:val="1"/>
    <w:rPr>
      <w:rFonts w:ascii="Times New Roman" w:hAnsi="Times New Roman" w:eastAsia="宋体" w:cs="Times New Roman"/>
      <w:sz w:val="24"/>
      <w:szCs w:val="20"/>
    </w:rPr>
  </w:style>
  <w:style w:type="paragraph" w:customStyle="1" w:styleId="19">
    <w:name w:val="表格 - 正文"/>
    <w:basedOn w:val="1"/>
    <w:qFormat/>
    <w:uiPriority w:val="0"/>
    <w:pPr>
      <w:snapToGrid w:val="0"/>
      <w:spacing w:before="120" w:after="120" w:line="360" w:lineRule="auto"/>
    </w:pPr>
    <w:rPr>
      <w:rFonts w:ascii="Times New Roman" w:hAnsi="Times New Roman" w:eastAsia="宋体" w:cs="宋体"/>
      <w:szCs w:val="20"/>
    </w:rPr>
  </w:style>
  <w:style w:type="paragraph" w:styleId="20">
    <w:name w:val="List Paragraph"/>
    <w:basedOn w:val="1"/>
    <w:autoRedefine/>
    <w:qFormat/>
    <w:uiPriority w:val="34"/>
    <w:pPr>
      <w:ind w:firstLine="420" w:firstLineChars="200"/>
    </w:pPr>
  </w:style>
  <w:style w:type="character" w:customStyle="1" w:styleId="21">
    <w:name w:val="font11"/>
    <w:basedOn w:val="11"/>
    <w:qFormat/>
    <w:uiPriority w:val="0"/>
    <w:rPr>
      <w:rFonts w:hint="eastAsia" w:ascii="宋体" w:hAnsi="宋体" w:eastAsia="宋体" w:cs="宋体"/>
      <w:color w:val="000000"/>
      <w:sz w:val="21"/>
      <w:szCs w:val="21"/>
      <w:u w:val="none"/>
    </w:rPr>
  </w:style>
  <w:style w:type="character" w:customStyle="1" w:styleId="22">
    <w:name w:val="font21"/>
    <w:basedOn w:val="11"/>
    <w:qFormat/>
    <w:uiPriority w:val="0"/>
    <w:rPr>
      <w:rFonts w:hint="eastAsia" w:ascii="宋体" w:hAnsi="宋体" w:eastAsia="宋体" w:cs="宋体"/>
      <w:strike/>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7375</Words>
  <Characters>7594</Characters>
  <Lines>6</Lines>
  <Paragraphs>1</Paragraphs>
  <TotalTime>1</TotalTime>
  <ScaleCrop>false</ScaleCrop>
  <LinksUpToDate>false</LinksUpToDate>
  <CharactersWithSpaces>7698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2020-03-12T00:43:00Z</dcterms:created>
  <dc:creator>AutoBVT</dc:creator>
  <cp:lastModifiedBy>罗昊</cp:lastModifiedBy>
  <dcterms:modified xsi:type="dcterms:W3CDTF">2025-05-22T09:26:54Z</dcterms:modified>
  <cp:revision>1082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236EE8110CB74B6D96A171B8B9CB89FA</vt:lpwstr>
  </property>
  <property fmtid="{D5CDD505-2E9C-101B-9397-08002B2CF9AE}" pid="4" name="commondata">
    <vt:lpwstr>eyJoZGlkIjoiNzljOTE0MDRlMmUyY2M3ZGQ4Nzk0OWRiOWI1OGE3ZmYifQ==</vt:lpwstr>
  </property>
</Properties>
</file>