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六安市中医院神经肌肉电刺激治疗仪采购项目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LASZYY-SBGCB2025117</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神经肌肉电刺激治疗仪</w:t>
      </w:r>
      <w:r>
        <w:rPr>
          <w:rFonts w:hint="eastAsia"/>
          <w:b/>
          <w:bCs/>
          <w:sz w:val="44"/>
          <w:szCs w:val="44"/>
        </w:rPr>
        <w:t>采购项目竞争性谈判公告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LASZYY-SBGCB2025117</w:t>
      </w:r>
    </w:p>
    <w:p w14:paraId="2946C592">
      <w:pPr>
        <w:rPr>
          <w:rFonts w:hint="eastAsia" w:ascii="宋体" w:hAnsi="宋体" w:cs="宋体"/>
          <w:sz w:val="28"/>
          <w:szCs w:val="28"/>
          <w:lang w:eastAsia="zh-CN"/>
        </w:rPr>
      </w:pPr>
      <w:r>
        <w:rPr>
          <w:rFonts w:hint="eastAsia" w:ascii="宋体" w:hAnsi="宋体" w:eastAsia="宋体" w:cs="宋体"/>
          <w:sz w:val="28"/>
          <w:szCs w:val="28"/>
        </w:rPr>
        <w:t>2、项目名称：</w:t>
      </w:r>
      <w:r>
        <w:rPr>
          <w:rFonts w:hint="eastAsia" w:ascii="宋体" w:hAnsi="宋体" w:cs="宋体"/>
          <w:sz w:val="28"/>
          <w:szCs w:val="28"/>
          <w:lang w:eastAsia="zh-CN"/>
        </w:rPr>
        <w:t>神经肌肉电刺激治疗仪</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6、最高限价：5万元</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70FB74FA">
      <w:pPr>
        <w:rPr>
          <w:rFonts w:hint="eastAsia" w:ascii="宋体" w:hAnsi="宋体" w:eastAsia="宋体" w:cs="宋体"/>
          <w:sz w:val="28"/>
          <w:szCs w:val="28"/>
        </w:rPr>
      </w:pPr>
      <w:r>
        <w:rPr>
          <w:rFonts w:hint="eastAsia" w:ascii="宋体" w:hAnsi="宋体" w:eastAsia="宋体" w:cs="宋体"/>
          <w:sz w:val="28"/>
          <w:szCs w:val="28"/>
        </w:rPr>
        <w:t>2、地点：六安市中医院1号楼19楼东边会议室</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六安市中医院神经肌肉电刺激治疗仪采购项目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LASZYY-SBGCB2025117</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 </w:t>
            </w:r>
            <w:r>
              <w:rPr>
                <w:rFonts w:hint="eastAsia" w:ascii="微软雅黑" w:hAnsi="微软雅黑" w:eastAsia="微软雅黑" w:cs="微软雅黑"/>
                <w:i w:val="0"/>
                <w:iCs w:val="0"/>
                <w:caps w:val="0"/>
                <w:color w:val="333333"/>
                <w:spacing w:val="0"/>
                <w:sz w:val="24"/>
                <w:szCs w:val="24"/>
                <w:u w:val="single"/>
                <w:lang w:val="en-US" w:eastAsia="zh-CN"/>
              </w:rPr>
              <w:t>7</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18</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363199266"/>
      <w:bookmarkStart w:id="11" w:name="_Toc438648662"/>
      <w:bookmarkStart w:id="12" w:name="_Toc216158625"/>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六安市中医院神经肌肉电刺激治疗仪技术参数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1台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5万元</w:t>
      </w:r>
    </w:p>
    <w:p w14:paraId="44D124C1">
      <w:pPr>
        <w:numPr>
          <w:ilvl w:val="0"/>
          <w:numId w:val="0"/>
        </w:numPr>
        <w:rPr>
          <w:rFonts w:hint="eastAsia" w:ascii="仿宋" w:hAnsi="仿宋" w:eastAsia="仿宋" w:cs="仿宋"/>
          <w:kern w:val="2"/>
          <w:sz w:val="28"/>
          <w:szCs w:val="28"/>
          <w:lang w:val="en-US" w:eastAsia="zh-CN" w:bidi="ar-SA"/>
        </w:rPr>
      </w:pPr>
    </w:p>
    <w:p w14:paraId="17624B27">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结构及组成/主要组成成分满足以下条件之一：①由主机、电极输出线、电极组成；②由主机、两芯电疗输出线和电极片组成；③主要由主机、四芯电疗输出线和电极片组成。</w:t>
      </w:r>
    </w:p>
    <w:p w14:paraId="17A5E61A">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适用范围/预期用途满足以下条件之一：①通过患者体表电刺激，进行神经肌肉训练；②用于物理治疗，通过患者体表电刺激，进行神经肌肉训练，对神经肌肉疼痛及疾病进行治疗。</w:t>
      </w:r>
    </w:p>
    <w:p w14:paraId="337A2EEB">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rPr>
        <w:t>7英寸彩色触摸屏</w:t>
      </w:r>
      <w:r>
        <w:rPr>
          <w:rFonts w:hint="eastAsia" w:ascii="仿宋" w:hAnsi="仿宋" w:eastAsia="仿宋" w:cs="仿宋"/>
          <w:sz w:val="28"/>
          <w:szCs w:val="28"/>
          <w:lang w:eastAsia="zh-CN"/>
        </w:rPr>
        <w:t>，</w:t>
      </w:r>
      <w:r>
        <w:rPr>
          <w:rFonts w:hint="eastAsia" w:ascii="仿宋" w:hAnsi="仿宋" w:eastAsia="仿宋" w:cs="仿宋"/>
          <w:color w:val="auto"/>
          <w:sz w:val="28"/>
          <w:szCs w:val="28"/>
        </w:rPr>
        <w:t>旋钮</w:t>
      </w:r>
      <w:r>
        <w:rPr>
          <w:rFonts w:hint="eastAsia" w:ascii="仿宋" w:hAnsi="仿宋" w:eastAsia="仿宋" w:cs="仿宋"/>
          <w:color w:val="auto"/>
          <w:sz w:val="28"/>
          <w:szCs w:val="28"/>
          <w:lang w:val="en-US" w:eastAsia="zh-CN"/>
        </w:rPr>
        <w:t>操作。</w:t>
      </w:r>
    </w:p>
    <w:p w14:paraId="259CA34D">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电疗输出≥8组。</w:t>
      </w:r>
    </w:p>
    <w:p w14:paraId="5FF2B548">
      <w:pPr>
        <w:numPr>
          <w:ilvl w:val="0"/>
          <w:numId w:val="2"/>
        </w:numPr>
        <w:rPr>
          <w:rFonts w:hint="eastAsia" w:ascii="仿宋" w:hAnsi="仿宋" w:eastAsia="仿宋" w:cs="仿宋"/>
          <w:sz w:val="28"/>
          <w:szCs w:val="28"/>
        </w:rPr>
      </w:pPr>
      <w:r>
        <w:rPr>
          <w:rFonts w:hint="eastAsia" w:ascii="仿宋" w:hAnsi="仿宋" w:eastAsia="仿宋" w:cs="仿宋"/>
          <w:sz w:val="28"/>
          <w:szCs w:val="28"/>
          <w:lang w:val="en-US" w:eastAsia="zh-CN"/>
        </w:rPr>
        <w:t>时间设定范围：1-99min，允差±2%。</w:t>
      </w:r>
    </w:p>
    <w:p w14:paraId="0088F17D">
      <w:pPr>
        <w:numPr>
          <w:ilvl w:val="0"/>
          <w:numId w:val="2"/>
        </w:numPr>
        <w:rPr>
          <w:rFonts w:hint="eastAsia" w:ascii="仿宋" w:hAnsi="仿宋" w:eastAsia="仿宋" w:cs="仿宋"/>
          <w:sz w:val="28"/>
          <w:szCs w:val="28"/>
        </w:rPr>
      </w:pPr>
      <w:r>
        <w:rPr>
          <w:rFonts w:hint="eastAsia" w:ascii="仿宋" w:hAnsi="仿宋" w:eastAsia="仿宋" w:cs="仿宋"/>
          <w:sz w:val="28"/>
          <w:szCs w:val="28"/>
          <w:lang w:val="en-US" w:eastAsia="zh-CN"/>
        </w:rPr>
        <w:t>治疗结束后，有声音提示功能。</w:t>
      </w:r>
    </w:p>
    <w:p w14:paraId="64E9922D">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输出波形：双向对称方波、双向不对称方波。</w:t>
      </w:r>
    </w:p>
    <w:p w14:paraId="6ACF7B16">
      <w:pPr>
        <w:numPr>
          <w:ilvl w:val="0"/>
          <w:numId w:val="2"/>
        </w:numPr>
        <w:rPr>
          <w:rFonts w:hint="eastAsia" w:ascii="仿宋" w:hAnsi="仿宋" w:eastAsia="仿宋" w:cs="仿宋"/>
          <w:sz w:val="28"/>
          <w:szCs w:val="28"/>
        </w:rPr>
      </w:pPr>
      <w:r>
        <w:rPr>
          <w:rFonts w:hint="eastAsia" w:ascii="仿宋" w:hAnsi="仿宋" w:eastAsia="仿宋" w:cs="仿宋"/>
          <w:sz w:val="28"/>
          <w:szCs w:val="28"/>
        </w:rPr>
        <w:t>输出强度：0mA~140mA</w:t>
      </w:r>
      <w:r>
        <w:rPr>
          <w:rFonts w:hint="eastAsia" w:ascii="仿宋" w:hAnsi="仿宋" w:eastAsia="仿宋" w:cs="仿宋"/>
          <w:sz w:val="28"/>
          <w:szCs w:val="28"/>
          <w:lang w:eastAsia="zh-CN"/>
        </w:rPr>
        <w:t>。</w:t>
      </w:r>
    </w:p>
    <w:p w14:paraId="4ECF10BA">
      <w:pPr>
        <w:numPr>
          <w:ilvl w:val="0"/>
          <w:numId w:val="2"/>
        </w:numPr>
        <w:rPr>
          <w:rFonts w:hint="eastAsia" w:ascii="仿宋" w:hAnsi="仿宋" w:eastAsia="仿宋" w:cs="仿宋"/>
          <w:sz w:val="28"/>
          <w:szCs w:val="28"/>
        </w:rPr>
      </w:pPr>
      <w:r>
        <w:rPr>
          <w:rFonts w:hint="eastAsia" w:ascii="仿宋" w:hAnsi="仿宋" w:eastAsia="仿宋" w:cs="仿宋"/>
          <w:sz w:val="28"/>
          <w:szCs w:val="28"/>
          <w:lang w:val="en-US" w:eastAsia="zh-CN"/>
        </w:rPr>
        <w:t>设备可进行通断调制</w:t>
      </w:r>
    </w:p>
    <w:p w14:paraId="6D4FBD72">
      <w:pPr>
        <w:widowControl w:val="0"/>
        <w:numPr>
          <w:ilvl w:val="0"/>
          <w:numId w:val="0"/>
        </w:numPr>
        <w:tabs>
          <w:tab w:val="left" w:pos="312"/>
        </w:tabs>
        <w:ind w:firstLine="280" w:firstLineChars="1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9.1 </w:t>
      </w:r>
      <w:r>
        <w:rPr>
          <w:rFonts w:hint="eastAsia" w:ascii="仿宋" w:hAnsi="仿宋" w:eastAsia="仿宋" w:cs="仿宋"/>
          <w:sz w:val="28"/>
          <w:szCs w:val="28"/>
        </w:rPr>
        <w:t>上升时间：0s-2s，步长为0.5s</w:t>
      </w:r>
      <w:r>
        <w:rPr>
          <w:rFonts w:hint="eastAsia" w:ascii="仿宋" w:hAnsi="仿宋" w:eastAsia="仿宋" w:cs="仿宋"/>
          <w:sz w:val="28"/>
          <w:szCs w:val="28"/>
          <w:lang w:eastAsia="zh-CN"/>
        </w:rPr>
        <w:t>；</w:t>
      </w:r>
    </w:p>
    <w:p w14:paraId="1083C107">
      <w:pPr>
        <w:widowControl w:val="0"/>
        <w:numPr>
          <w:ilvl w:val="0"/>
          <w:numId w:val="0"/>
        </w:numPr>
        <w:tabs>
          <w:tab w:val="left" w:pos="312"/>
        </w:tabs>
        <w:ind w:firstLine="280" w:firstLineChars="1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9.2 </w:t>
      </w:r>
      <w:r>
        <w:rPr>
          <w:rFonts w:hint="eastAsia" w:ascii="仿宋" w:hAnsi="仿宋" w:eastAsia="仿宋" w:cs="仿宋"/>
          <w:sz w:val="28"/>
          <w:szCs w:val="28"/>
        </w:rPr>
        <w:t>保持时间：0s-20s，步长为1s</w:t>
      </w:r>
      <w:r>
        <w:rPr>
          <w:rFonts w:hint="eastAsia" w:ascii="仿宋" w:hAnsi="仿宋" w:eastAsia="仿宋" w:cs="仿宋"/>
          <w:sz w:val="28"/>
          <w:szCs w:val="28"/>
          <w:lang w:eastAsia="zh-CN"/>
        </w:rPr>
        <w:t>；</w:t>
      </w:r>
    </w:p>
    <w:p w14:paraId="112BE100">
      <w:pPr>
        <w:widowControl w:val="0"/>
        <w:numPr>
          <w:ilvl w:val="0"/>
          <w:numId w:val="0"/>
        </w:numPr>
        <w:tabs>
          <w:tab w:val="left" w:pos="312"/>
        </w:tabs>
        <w:ind w:firstLine="280" w:firstLineChars="1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9.3 </w:t>
      </w:r>
      <w:r>
        <w:rPr>
          <w:rFonts w:hint="eastAsia" w:ascii="仿宋" w:hAnsi="仿宋" w:eastAsia="仿宋" w:cs="仿宋"/>
          <w:sz w:val="28"/>
          <w:szCs w:val="28"/>
        </w:rPr>
        <w:t>下降时间：0s-2s，步长为0.5s</w:t>
      </w:r>
      <w:r>
        <w:rPr>
          <w:rFonts w:hint="eastAsia" w:ascii="仿宋" w:hAnsi="仿宋" w:eastAsia="仿宋" w:cs="仿宋"/>
          <w:sz w:val="28"/>
          <w:szCs w:val="28"/>
          <w:lang w:eastAsia="zh-CN"/>
        </w:rPr>
        <w:t>；</w:t>
      </w:r>
    </w:p>
    <w:p w14:paraId="05FFDC2A">
      <w:pPr>
        <w:numPr>
          <w:ilvl w:val="0"/>
          <w:numId w:val="0"/>
        </w:numPr>
        <w:ind w:firstLine="280" w:firstLineChars="1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9.4 </w:t>
      </w:r>
      <w:r>
        <w:rPr>
          <w:rFonts w:hint="eastAsia" w:ascii="仿宋" w:hAnsi="仿宋" w:eastAsia="仿宋" w:cs="仿宋"/>
          <w:sz w:val="28"/>
          <w:szCs w:val="28"/>
        </w:rPr>
        <w:t>间隔时间：2s-50s，步长为1s</w:t>
      </w:r>
      <w:r>
        <w:rPr>
          <w:rFonts w:hint="eastAsia" w:ascii="仿宋" w:hAnsi="仿宋" w:eastAsia="仿宋" w:cs="仿宋"/>
          <w:sz w:val="28"/>
          <w:szCs w:val="28"/>
          <w:lang w:eastAsia="zh-CN"/>
        </w:rPr>
        <w:t>。</w:t>
      </w:r>
    </w:p>
    <w:p w14:paraId="57A823E6">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具有同步/异步选择功能。</w:t>
      </w:r>
    </w:p>
    <w:p w14:paraId="58C10B5D">
      <w:pPr>
        <w:numPr>
          <w:ilvl w:val="0"/>
          <w:numId w:val="2"/>
        </w:numPr>
        <w:rPr>
          <w:rFonts w:hint="default" w:ascii="宋体" w:hAnsi="宋体" w:cs="宋体"/>
          <w:b/>
          <w:bCs/>
          <w:sz w:val="28"/>
          <w:szCs w:val="28"/>
          <w:lang w:val="en-US" w:eastAsia="zh-CN"/>
        </w:rPr>
      </w:pPr>
      <w:r>
        <w:rPr>
          <w:rFonts w:hint="eastAsia" w:ascii="仿宋" w:hAnsi="仿宋" w:eastAsia="仿宋" w:cs="仿宋"/>
          <w:sz w:val="28"/>
          <w:szCs w:val="28"/>
          <w:lang w:val="en-US" w:eastAsia="zh-CN"/>
        </w:rPr>
        <w:t>整机保修不低于三年。</w:t>
      </w: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9744"/>
      <w:bookmarkStart w:id="50" w:name="_Toc28850"/>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六安市中医院神经肌肉电刺激治疗仪采购项目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3"/>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六安市中医院神经肌肉电刺激治疗仪采购项目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3"/>
        <w:keepNext w:val="0"/>
        <w:keepLines w:val="0"/>
        <w:widowControl w:val="0"/>
        <w:suppressLineNumbers w:val="0"/>
        <w:spacing w:before="0" w:beforeAutospacing="0" w:after="120" w:afterAutospacing="0"/>
        <w:ind w:left="0" w:right="0" w:firstLine="240" w:firstLineChars="100"/>
        <w:jc w:val="both"/>
        <w:rPr>
          <w:lang w:val="en-US"/>
        </w:rPr>
      </w:pPr>
    </w:p>
    <w:tbl>
      <w:tblPr>
        <w:tblStyle w:val="3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六安市中医院神经肌肉电刺激治疗仪采购项目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7</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18</w:t>
      </w:r>
      <w:r>
        <w:rPr>
          <w:rFonts w:hint="eastAsia" w:ascii="宋体" w:hAnsi="宋体" w:eastAsia="宋体" w:cs="宋体"/>
          <w:kern w:val="2"/>
          <w:sz w:val="28"/>
          <w:szCs w:val="28"/>
          <w:lang w:val="en-US" w:eastAsia="zh-CN" w:bidi="ar"/>
        </w:rPr>
        <w:t>日</w:t>
      </w:r>
    </w:p>
    <w:p w14:paraId="450730F6">
      <w:pPr>
        <w:pStyle w:val="33"/>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bookmarkStart w:id="51" w:name="_GoBack"/>
      <w:bookmarkEnd w:id="51"/>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6D5AA"/>
    <w:multiLevelType w:val="singleLevel"/>
    <w:tmpl w:val="F396D5AA"/>
    <w:lvl w:ilvl="0" w:tentative="0">
      <w:start w:val="1"/>
      <w:numFmt w:val="decimal"/>
      <w:suff w:val="nothing"/>
      <w:lvlText w:val="%1、"/>
      <w:lvlJc w:val="left"/>
    </w:lvl>
  </w:abstractNum>
  <w:abstractNum w:abstractNumId="1">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73594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03324E"/>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E0C43BB"/>
    <w:rsid w:val="6E2B2A93"/>
    <w:rsid w:val="6E8A54A5"/>
    <w:rsid w:val="6EE659EF"/>
    <w:rsid w:val="6EFA29D3"/>
    <w:rsid w:val="707B75D6"/>
    <w:rsid w:val="70A02612"/>
    <w:rsid w:val="70C8412A"/>
    <w:rsid w:val="71315543"/>
    <w:rsid w:val="7168348C"/>
    <w:rsid w:val="717602E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7B216E3"/>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8462</Words>
  <Characters>8837</Characters>
  <Lines>127</Lines>
  <Paragraphs>35</Paragraphs>
  <TotalTime>0</TotalTime>
  <ScaleCrop>false</ScaleCrop>
  <LinksUpToDate>false</LinksUpToDate>
  <CharactersWithSpaces>9529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2025-07-14T08:41:15Z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