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六安市中医院数字式十二导联心电图机采购项目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bookmarkStart w:id="51" w:name="_GoBack"/>
      <w:r>
        <w:rPr>
          <w:rFonts w:hint="eastAsia" w:ascii="宋体" w:hAnsi="DotumChe" w:cs="宋体"/>
          <w:b/>
          <w:spacing w:val="20"/>
          <w:kern w:val="0"/>
          <w:sz w:val="28"/>
          <w:szCs w:val="28"/>
          <w:u w:val="single"/>
          <w:lang w:val="en-US" w:eastAsia="zh-CN"/>
        </w:rPr>
        <w:t>LASZYY-SBGCB2025160</w:t>
      </w:r>
    </w:p>
    <w:bookmarkEnd w:id="51"/>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10</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35393797"/>
      <w:bookmarkStart w:id="3" w:name="_Toc28359011"/>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数字式十二导联心电图机</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数字式十二导联心电图机</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LASZYY-SBGCB2025160</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1台</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1.5</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 1</w:t>
      </w:r>
      <w:r>
        <w:rPr>
          <w:rFonts w:hint="eastAsia" w:ascii="仿宋" w:hAnsi="仿宋" w:eastAsia="仿宋" w:cs="仿宋"/>
          <w:sz w:val="28"/>
          <w:szCs w:val="28"/>
          <w:lang w:val="en-US" w:eastAsia="zh-CN"/>
        </w:rPr>
        <w:t>0</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六安市中医院数字式十二导联心电图机采购项目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LASZYY-SBGCB2025160</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1.5万元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10</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21</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10:00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438648662"/>
      <w:bookmarkStart w:id="11" w:name="_Toc216158625"/>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六安市中医院数字式十二导联心电图机技术参数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1台</w:t>
      </w:r>
      <w:r>
        <w:rPr>
          <w:rFonts w:hint="eastAsia" w:ascii="仿宋" w:hAnsi="仿宋" w:eastAsia="仿宋" w:cs="微软雅黑"/>
          <w:color w:val="000000"/>
          <w:kern w:val="0"/>
          <w:sz w:val="28"/>
          <w:szCs w:val="28"/>
        </w:rPr>
        <w:t>；</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1.5</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023DA80F">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rPr>
        <w:t>标准12导联心电信号同步采集</w:t>
      </w:r>
      <w:r>
        <w:rPr>
          <w:rFonts w:hint="eastAsia" w:ascii="仿宋" w:hAnsi="仿宋" w:eastAsia="仿宋" w:cs="仿宋"/>
          <w:sz w:val="24"/>
          <w:szCs w:val="24"/>
          <w:lang w:eastAsia="zh-CN"/>
        </w:rPr>
        <w:t>。</w:t>
      </w:r>
    </w:p>
    <w:p w14:paraId="4025BD60">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kern w:val="0"/>
          <w:sz w:val="24"/>
          <w:szCs w:val="24"/>
        </w:rPr>
        <w:t>交直流两用，自动转换</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内置可充电锂离子电池</w:t>
      </w:r>
      <w:r>
        <w:rPr>
          <w:rFonts w:hint="eastAsia" w:ascii="仿宋" w:hAnsi="仿宋" w:eastAsia="仿宋" w:cs="仿宋"/>
          <w:kern w:val="0"/>
          <w:sz w:val="24"/>
          <w:szCs w:val="24"/>
          <w:lang w:eastAsia="zh-CN"/>
        </w:rPr>
        <w:t>。</w:t>
      </w:r>
    </w:p>
    <w:p w14:paraId="625EC1FB">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bCs/>
          <w:color w:val="000000"/>
          <w:sz w:val="24"/>
          <w:szCs w:val="24"/>
        </w:rPr>
        <w:t>≥8英寸彩色触摸屏</w:t>
      </w:r>
      <w:r>
        <w:rPr>
          <w:rFonts w:hint="eastAsia" w:ascii="仿宋" w:hAnsi="仿宋" w:eastAsia="仿宋" w:cs="仿宋"/>
          <w:bCs/>
          <w:color w:val="000000"/>
          <w:sz w:val="24"/>
          <w:szCs w:val="24"/>
          <w:lang w:eastAsia="zh-CN"/>
        </w:rPr>
        <w:t>。</w:t>
      </w:r>
    </w:p>
    <w:p w14:paraId="132229DE">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内置热敏点阵打印机，并支持通过有线/无线方式外接激光打印机打印A4报告。</w:t>
      </w:r>
    </w:p>
    <w:p w14:paraId="7DDFBB6C">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rPr>
        <w:t>支持通过有线、无线、移动网络的方式进行联网，内置WIFI 模块，可支持2.4GHz/5GHz双频带传输</w:t>
      </w:r>
      <w:r>
        <w:rPr>
          <w:rFonts w:hint="eastAsia" w:ascii="仿宋" w:hAnsi="仿宋" w:eastAsia="仿宋" w:cs="仿宋"/>
          <w:sz w:val="24"/>
          <w:szCs w:val="24"/>
          <w:lang w:eastAsia="zh-CN"/>
        </w:rPr>
        <w:t>。</w:t>
      </w:r>
    </w:p>
    <w:p w14:paraId="39CBF44C">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输入阻抗：≥100MΩ。</w:t>
      </w:r>
    </w:p>
    <w:p w14:paraId="70D7D0D6">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采样率：≥60kHz。(提供注册检验报告证明)</w:t>
      </w:r>
    </w:p>
    <w:p w14:paraId="74C13989">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频率响应：0.01Hz</w:t>
      </w:r>
      <w:r>
        <w:rPr>
          <w:rFonts w:hint="eastAsia" w:ascii="仿宋" w:hAnsi="仿宋" w:eastAsia="仿宋" w:cs="仿宋"/>
          <w:color w:val="auto"/>
          <w:sz w:val="24"/>
          <w:szCs w:val="24"/>
        </w:rPr>
        <w:t>~</w:t>
      </w:r>
      <w:r>
        <w:rPr>
          <w:rFonts w:hint="eastAsia" w:ascii="仿宋" w:hAnsi="仿宋" w:eastAsia="仿宋" w:cs="仿宋"/>
          <w:sz w:val="24"/>
          <w:szCs w:val="24"/>
          <w:lang w:val="en-US" w:eastAsia="zh-CN"/>
        </w:rPr>
        <w:t>500Hz。(提供注册检验报告证明)</w:t>
      </w:r>
    </w:p>
    <w:p w14:paraId="561A568A">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耐极化电压：≥±900mV。(提供注册检验报告证明)</w:t>
      </w:r>
    </w:p>
    <w:p w14:paraId="777C1862">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共模抑制比： ≥140dB。</w:t>
      </w:r>
    </w:p>
    <w:p w14:paraId="2A9B006C">
      <w:pPr>
        <w:keepNext w:val="0"/>
        <w:keepLines w:val="0"/>
        <w:widowControl/>
        <w:numPr>
          <w:ilvl w:val="0"/>
          <w:numId w:val="2"/>
        </w:numPr>
        <w:suppressLineNumbers w:val="0"/>
        <w:jc w:val="left"/>
        <w:rPr>
          <w:rFonts w:hint="eastAsia" w:ascii="仿宋" w:hAnsi="仿宋" w:eastAsia="仿宋" w:cs="仿宋"/>
          <w:sz w:val="24"/>
          <w:szCs w:val="24"/>
        </w:rPr>
      </w:pPr>
      <w:r>
        <w:rPr>
          <w:rFonts w:hint="eastAsia" w:ascii="仿宋" w:hAnsi="仿宋" w:eastAsia="仿宋" w:cs="仿宋"/>
          <w:sz w:val="24"/>
          <w:szCs w:val="24"/>
          <w:lang w:val="en-US" w:eastAsia="zh-CN"/>
        </w:rPr>
        <w:t>内置存储器，支持外接U盘扩展存储空间。</w:t>
      </w:r>
    </w:p>
    <w:p w14:paraId="3BF63D76">
      <w:pPr>
        <w:keepNext w:val="0"/>
        <w:keepLines w:val="0"/>
        <w:widowControl/>
        <w:numPr>
          <w:ilvl w:val="0"/>
          <w:numId w:val="2"/>
        </w:numPr>
        <w:suppressLineNumbers w:val="0"/>
        <w:jc w:val="left"/>
        <w:rPr>
          <w:rFonts w:hint="eastAsia" w:ascii="仿宋" w:hAnsi="仿宋" w:eastAsia="仿宋" w:cs="仿宋"/>
          <w:sz w:val="24"/>
          <w:szCs w:val="24"/>
        </w:rPr>
      </w:pPr>
      <w:r>
        <w:rPr>
          <w:rFonts w:hint="eastAsia" w:ascii="仿宋" w:hAnsi="仿宋" w:eastAsia="仿宋" w:cs="仿宋"/>
          <w:kern w:val="0"/>
          <w:sz w:val="24"/>
          <w:szCs w:val="24"/>
        </w:rPr>
        <w:t>抗干扰滤波：具有交流滤波、肌电滤波、基线漂移滤波、低通滤波功能</w:t>
      </w:r>
      <w:r>
        <w:rPr>
          <w:rFonts w:hint="eastAsia" w:ascii="仿宋" w:hAnsi="仿宋" w:eastAsia="仿宋" w:cs="仿宋"/>
          <w:kern w:val="0"/>
          <w:sz w:val="24"/>
          <w:szCs w:val="24"/>
          <w:lang w:eastAsia="zh-CN"/>
        </w:rPr>
        <w:t>。</w:t>
      </w:r>
    </w:p>
    <w:p w14:paraId="4710A46F">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具有病历管理功能，可进行病历查询、预览、修改、传输、打印等。</w:t>
      </w:r>
    </w:p>
    <w:p w14:paraId="79C1BAC5">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w:t>
      </w:r>
      <w:r>
        <w:rPr>
          <w:rFonts w:hint="eastAsia" w:ascii="仿宋" w:hAnsi="仿宋" w:eastAsia="仿宋" w:cs="仿宋"/>
          <w:color w:val="000000" w:themeColor="text1"/>
          <w:sz w:val="24"/>
          <w:szCs w:val="24"/>
          <w14:textFill>
            <w14:solidFill>
              <w14:schemeClr w14:val="tx1"/>
            </w14:solidFill>
          </w14:textFill>
        </w:rPr>
        <w:t>导联信号质量检测功能</w:t>
      </w:r>
      <w:r>
        <w:rPr>
          <w:rFonts w:hint="eastAsia" w:ascii="仿宋" w:hAnsi="仿宋" w:eastAsia="仿宋" w:cs="仿宋"/>
          <w:color w:val="000000" w:themeColor="text1"/>
          <w:sz w:val="24"/>
          <w:szCs w:val="24"/>
          <w:lang w:eastAsia="zh-CN"/>
          <w14:textFill>
            <w14:solidFill>
              <w14:schemeClr w14:val="tx1"/>
            </w14:solidFill>
          </w14:textFill>
        </w:rPr>
        <w:t>等。</w:t>
      </w:r>
    </w:p>
    <w:p w14:paraId="244E2EFD">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整机质保不低于三年。</w:t>
      </w:r>
    </w:p>
    <w:p w14:paraId="596FF4FB">
      <w:pPr>
        <w:keepNext w:val="0"/>
        <w:keepLines w:val="0"/>
        <w:widowControl/>
        <w:numPr>
          <w:ilvl w:val="0"/>
          <w:numId w:val="2"/>
        </w:numPr>
        <w:suppressLineNumbers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整机及配套提供物资需与医院信息系统对接，接口费用由中标方承担。</w:t>
      </w:r>
    </w:p>
    <w:p w14:paraId="6DE03692">
      <w:pPr>
        <w:jc w:val="both"/>
        <w:rPr>
          <w:rFonts w:hint="eastAsia" w:ascii="宋体" w:hAnsi="宋体" w:cs="宋体"/>
          <w:b/>
          <w:bCs/>
          <w:sz w:val="28"/>
          <w:szCs w:val="28"/>
          <w:lang w:eastAsia="zh-CN"/>
        </w:rPr>
      </w:pPr>
    </w:p>
    <w:p w14:paraId="42061D31">
      <w:pPr>
        <w:jc w:val="both"/>
        <w:rPr>
          <w:rFonts w:hint="eastAsia" w:ascii="宋体" w:hAnsi="宋体" w:cs="宋体"/>
          <w:b/>
          <w:bCs/>
          <w:sz w:val="28"/>
          <w:szCs w:val="28"/>
          <w:lang w:eastAsia="zh-CN"/>
        </w:rPr>
      </w:pPr>
    </w:p>
    <w:p w14:paraId="4CBF7AB9">
      <w:pPr>
        <w:jc w:val="both"/>
        <w:rPr>
          <w:rFonts w:hint="eastAsia" w:ascii="宋体" w:hAnsi="宋体" w:cs="宋体"/>
          <w:b/>
          <w:bCs/>
          <w:sz w:val="28"/>
          <w:szCs w:val="28"/>
          <w:lang w:eastAsia="zh-CN"/>
        </w:rPr>
      </w:pPr>
    </w:p>
    <w:p w14:paraId="53D1369E">
      <w:pPr>
        <w:jc w:val="both"/>
        <w:rPr>
          <w:rFonts w:hint="eastAsia" w:ascii="宋体" w:hAnsi="宋体" w:cs="宋体"/>
          <w:b/>
          <w:bCs/>
          <w:sz w:val="28"/>
          <w:szCs w:val="28"/>
          <w:lang w:eastAsia="zh-CN"/>
        </w:rPr>
      </w:pPr>
    </w:p>
    <w:p w14:paraId="20DAFEB7">
      <w:pPr>
        <w:jc w:val="both"/>
        <w:rPr>
          <w:rFonts w:hint="eastAsia" w:ascii="宋体" w:hAnsi="宋体" w:cs="宋体"/>
          <w:b/>
          <w:bCs/>
          <w:sz w:val="28"/>
          <w:szCs w:val="28"/>
          <w:lang w:eastAsia="zh-CN"/>
        </w:rPr>
      </w:pPr>
    </w:p>
    <w:p w14:paraId="5BA2491C">
      <w:pPr>
        <w:jc w:val="both"/>
        <w:rPr>
          <w:rFonts w:hint="eastAsia" w:ascii="宋体" w:hAnsi="宋体" w:cs="宋体"/>
          <w:b/>
          <w:bCs/>
          <w:sz w:val="28"/>
          <w:szCs w:val="28"/>
          <w:lang w:eastAsia="zh-CN"/>
        </w:rPr>
      </w:pPr>
    </w:p>
    <w:p w14:paraId="664C420E">
      <w:pPr>
        <w:jc w:val="both"/>
        <w:rPr>
          <w:rFonts w:hint="eastAsia" w:ascii="宋体" w:hAnsi="宋体" w:cs="宋体"/>
          <w:b/>
          <w:bCs/>
          <w:sz w:val="28"/>
          <w:szCs w:val="28"/>
          <w:lang w:eastAsia="zh-CN"/>
        </w:rPr>
      </w:pPr>
    </w:p>
    <w:p w14:paraId="337F92C0">
      <w:pPr>
        <w:jc w:val="both"/>
        <w:rPr>
          <w:rFonts w:hint="eastAsia" w:ascii="宋体" w:hAnsi="宋体" w:cs="宋体"/>
          <w:b/>
          <w:bCs/>
          <w:sz w:val="28"/>
          <w:szCs w:val="28"/>
          <w:lang w:eastAsia="zh-CN"/>
        </w:rPr>
      </w:pPr>
    </w:p>
    <w:p w14:paraId="0C0CB74B">
      <w:pPr>
        <w:jc w:val="both"/>
        <w:rPr>
          <w:rFonts w:hint="eastAsia" w:ascii="宋体" w:hAnsi="宋体" w:cs="宋体"/>
          <w:b/>
          <w:bCs/>
          <w:sz w:val="28"/>
          <w:szCs w:val="28"/>
          <w:lang w:eastAsia="zh-CN"/>
        </w:rPr>
      </w:pPr>
    </w:p>
    <w:p w14:paraId="34C09A41">
      <w:pPr>
        <w:jc w:val="both"/>
        <w:rPr>
          <w:rFonts w:hint="eastAsia" w:ascii="宋体" w:hAnsi="宋体" w:cs="宋体"/>
          <w:b/>
          <w:bCs/>
          <w:sz w:val="28"/>
          <w:szCs w:val="28"/>
          <w:lang w:eastAsia="zh-CN"/>
        </w:rPr>
      </w:pPr>
    </w:p>
    <w:p w14:paraId="3C2D30F8">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4700"/>
      <w:bookmarkStart w:id="31" w:name="_Toc10696"/>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29263"/>
      <w:bookmarkStart w:id="34" w:name="_Toc5130"/>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25238"/>
      <w:bookmarkStart w:id="43" w:name="_Toc17243"/>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3E5BA"/>
    <w:multiLevelType w:val="singleLevel"/>
    <w:tmpl w:val="B523E5BA"/>
    <w:lvl w:ilvl="0" w:tentative="0">
      <w:start w:val="1"/>
      <w:numFmt w:val="decimal"/>
      <w:suff w:val="nothing"/>
      <w:lvlText w:val="%1、"/>
      <w:lvlJc w:val="left"/>
      <w:rPr>
        <w:rFonts w:hint="default"/>
        <w:sz w:val="21"/>
        <w:szCs w:val="21"/>
      </w:r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1278B0"/>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BBC12FB"/>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2D0E6D"/>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4981</Words>
  <Characters>5129</Characters>
  <Lines>127</Lines>
  <Paragraphs>35</Paragraphs>
  <TotalTime>0</TotalTime>
  <ScaleCrop>false</ScaleCrop>
  <LinksUpToDate>false</LinksUpToDate>
  <CharactersWithSpaces>5169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2025-10-15T08:05:57Z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F771EB9F8BF0416CB442995F80ECDFE0_13</vt:lpwstr>
  </property>
  <property fmtid="{D5CDD505-2E9C-101B-9397-08002B2CF9AE}" pid="4" name="KSOTemplateDocerSaveRecord">
    <vt:lpwstr>eyJoZGlkIjoiYTYxZTkzYjEzY2JmOTk5ZmNkNjVkMzBkMjg0Yzk1NzgiLCJ1c2VySWQiOiIyNTUxNzkzNzMifQ==</vt:lpwstr>
  </property>
</Properties>
</file>