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rPr>
        <w:t>六安市中医院网络安全设备升级项目</w:t>
      </w:r>
      <w:r>
        <w:rPr>
          <w:rFonts w:hint="eastAsia" w:asciiTheme="majorEastAsia" w:hAnsiTheme="majorEastAsia" w:eastAsiaTheme="majorEastAsia"/>
          <w:b/>
          <w:sz w:val="32"/>
          <w:szCs w:val="32"/>
        </w:rPr>
        <w:t>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bookmarkStart w:id="0" w:name="_GoBack"/>
      <w:bookmarkEnd w:id="0"/>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348"/>
        <w:gridCol w:w="4110"/>
        <w:gridCol w:w="897"/>
        <w:gridCol w:w="46"/>
        <w:gridCol w:w="621"/>
        <w:gridCol w:w="666"/>
        <w:gridCol w:w="425"/>
        <w:gridCol w:w="1183"/>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1"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667" w:type="dxa"/>
            <w:gridSpan w:val="2"/>
            <w:tcBorders>
              <w:top w:val="single" w:color="auto" w:sz="4" w:space="0"/>
              <w:left w:val="single" w:color="auto" w:sz="4" w:space="0"/>
              <w:right w:val="single" w:color="auto" w:sz="4" w:space="0"/>
            </w:tcBorders>
            <w:noWrap w:val="0"/>
            <w:vAlign w:val="center"/>
          </w:tcPr>
          <w:p w14:paraId="5B7475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vMerge w:val="restart"/>
            <w:tcBorders>
              <w:top w:val="single" w:color="auto" w:sz="4" w:space="0"/>
              <w:left w:val="single" w:color="auto" w:sz="4" w:space="0"/>
              <w:right w:val="single" w:color="auto" w:sz="4" w:space="0"/>
            </w:tcBorders>
            <w:noWrap w:val="0"/>
            <w:vAlign w:val="center"/>
          </w:tcPr>
          <w:p w14:paraId="4CC69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425" w:type="dxa"/>
            <w:vMerge w:val="restart"/>
            <w:tcBorders>
              <w:top w:val="single" w:color="auto" w:sz="4" w:space="0"/>
              <w:left w:val="single" w:color="auto" w:sz="4" w:space="0"/>
              <w:right w:val="single" w:color="auto" w:sz="4" w:space="0"/>
            </w:tcBorders>
            <w:noWrap w:val="0"/>
            <w:vAlign w:val="center"/>
          </w:tcPr>
          <w:p w14:paraId="000FE7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183" w:type="dxa"/>
            <w:vMerge w:val="restart"/>
            <w:tcBorders>
              <w:top w:val="single" w:color="auto" w:sz="4" w:space="0"/>
              <w:left w:val="single" w:color="auto" w:sz="4" w:space="0"/>
              <w:right w:val="single" w:color="auto" w:sz="4" w:space="0"/>
            </w:tcBorders>
            <w:noWrap w:val="0"/>
            <w:vAlign w:val="top"/>
          </w:tcPr>
          <w:p w14:paraId="26C2F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56" w:type="dxa"/>
            <w:tcBorders>
              <w:top w:val="single" w:color="auto" w:sz="4" w:space="0"/>
              <w:left w:val="single" w:color="auto" w:sz="4" w:space="0"/>
              <w:bottom w:val="single" w:color="auto" w:sz="4" w:space="0"/>
              <w:right w:val="single" w:color="auto" w:sz="4" w:space="0"/>
            </w:tcBorders>
            <w:noWrap w:val="0"/>
            <w:vAlign w:val="center"/>
          </w:tcPr>
          <w:p w14:paraId="5843AE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名称</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B36F68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46939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3690FA51">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数量</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E2CD8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666" w:type="dxa"/>
            <w:vMerge w:val="continue"/>
            <w:tcBorders>
              <w:left w:val="single" w:color="auto" w:sz="4" w:space="0"/>
              <w:right w:val="single" w:color="auto" w:sz="4" w:space="0"/>
            </w:tcBorders>
            <w:noWrap w:val="0"/>
            <w:vAlign w:val="center"/>
          </w:tcPr>
          <w:p w14:paraId="36A596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vMerge w:val="continue"/>
            <w:tcBorders>
              <w:left w:val="single" w:color="auto" w:sz="4" w:space="0"/>
              <w:right w:val="single" w:color="auto" w:sz="4" w:space="0"/>
            </w:tcBorders>
            <w:noWrap w:val="0"/>
            <w:vAlign w:val="center"/>
          </w:tcPr>
          <w:p w14:paraId="4E66F3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vMerge w:val="continue"/>
            <w:tcBorders>
              <w:left w:val="single" w:color="auto" w:sz="4" w:space="0"/>
              <w:right w:val="single" w:color="auto" w:sz="4" w:space="0"/>
            </w:tcBorders>
            <w:noWrap w:val="0"/>
            <w:vAlign w:val="top"/>
          </w:tcPr>
          <w:p w14:paraId="079D1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28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56" w:type="dxa"/>
            <w:tcBorders>
              <w:top w:val="single" w:color="auto" w:sz="4" w:space="0"/>
              <w:left w:val="single" w:color="auto" w:sz="4" w:space="0"/>
              <w:bottom w:val="single" w:color="auto" w:sz="4" w:space="0"/>
              <w:right w:val="single" w:color="auto" w:sz="4" w:space="0"/>
            </w:tcBorders>
            <w:noWrap w:val="0"/>
            <w:vAlign w:val="center"/>
          </w:tcPr>
          <w:p w14:paraId="7F09B9E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安全设备购置</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02281C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运维堡垒机</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726C4C03">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1、设备配置内存≥32G， 硬盘≥4T，冗余电源，配置≥6个千兆电口插槽，≥4个千兆光口插槽（含4个光模块），配备含服务器、虚拟机及数据库许可≥500个；运维用户授权≥150个，并发使用≥50个。</w:t>
            </w:r>
          </w:p>
          <w:p w14:paraId="062E26BE">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2、支持通过IP网段扫描，快速发现指定IP地址范围内的资产，并自动识别IP和端口，方便管理员快速添加资产。可自定义添加资产类型，支持资产批量修改属性。</w:t>
            </w:r>
          </w:p>
          <w:p w14:paraId="430603BD">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3、支持运维用户的增删改查、锁定、解锁、清空等操作，对用户进行全生命周期管理；支持以部门方式对用户进行分组管理，支持用户批量导入和导出。</w:t>
            </w:r>
          </w:p>
          <w:p w14:paraId="7CEF1A19">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支持对已添加的设备账号进行密码托管，从而实现单点登录功能。支持对Linux、Windows、数据库等资产进行账号改密，改密支持手动和定期自动改密。支持查看账号改密历史记录，每个节点详细记录改密信息及结果。</w:t>
            </w:r>
          </w:p>
          <w:p w14:paraId="18D20DF3">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5、用户可通过堡垒机对信息系统的服务器和oracle、mysql、sql server、DB2、Tidb等主流数据库进行独立运维。支持提供广泛的应用接入支持，在不做二次开发的情况下，支持各种自定义客户端工具，支持访问SSH、Telnet、FTP、SFTP、SCP、RDP、VNC、浏览器、数据库、C/S等资产，支持进行协议/工具扩展，可灵活扩展且实现账号口令的代填，至少支持扩展KVM、Vmware、数据库、http/https、C/S应用等。</w:t>
            </w:r>
          </w:p>
          <w:p w14:paraId="2D5BB9E7">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6、支持运维操作界面自动视频录制和运维操作详细记录。支持后台监控正在运维的会话，信息包括运维用户、运维客户端地址、资源地址、协议、开始时间等，并可以实时阻断。</w:t>
            </w:r>
          </w:p>
          <w:p w14:paraId="021570A0">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7、支持会话、剪切板上下行、文件上传下载、新建删除重命名文件/目录的约束行为，包括：放行、审批、阻断和告警；</w:t>
            </w:r>
          </w:p>
          <w:p w14:paraId="36946CCA">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8、支持查询资源总量、活动用户、实时会话、待审批工单、当日运维记录、资产运行状态、今日运维总数、今日运维时长TOP10、今日告警总数等信息，方便管理员实时查看系统运行情况，掌握资产会话连接情况。</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3E19CB05">
            <w:pPr>
              <w:pStyle w:val="18"/>
              <w:widowControl/>
              <w:kinsoku w:val="0"/>
              <w:overflowPunct w:val="0"/>
              <w:spacing w:line="400" w:lineRule="exact"/>
              <w:jc w:val="lef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EA46E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6CCAB0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5F1C57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1B432B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BC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56" w:type="dxa"/>
            <w:vMerge w:val="restart"/>
            <w:tcBorders>
              <w:top w:val="single" w:color="auto" w:sz="4" w:space="0"/>
              <w:left w:val="single" w:color="auto" w:sz="4" w:space="0"/>
              <w:right w:val="single" w:color="auto" w:sz="4" w:space="0"/>
            </w:tcBorders>
            <w:noWrap w:val="0"/>
            <w:vAlign w:val="center"/>
          </w:tcPr>
          <w:p w14:paraId="575474E5">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设备延保及规则库升级</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36230C81">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服务器区域防火墙</w:t>
            </w:r>
          </w:p>
          <w:p w14:paraId="609D0350">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天融信防火墙NGFW4000-UF(NG-81142)）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7124FDC">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一年的设备延保、病毒库和IPS库更新。</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194D1EE9">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5A45A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163698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3219E5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4356A1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F0C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56" w:type="dxa"/>
            <w:vMerge w:val="continue"/>
            <w:tcBorders>
              <w:left w:val="single" w:color="auto" w:sz="4" w:space="0"/>
              <w:right w:val="single" w:color="auto" w:sz="4" w:space="0"/>
            </w:tcBorders>
            <w:noWrap w:val="0"/>
            <w:vAlign w:val="center"/>
          </w:tcPr>
          <w:p w14:paraId="70D45034">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CBF6890">
            <w:pPr>
              <w:jc w:val="center"/>
              <w:rPr>
                <w:rFonts w:hint="eastAsia" w:ascii="仿宋" w:hAnsi="仿宋" w:eastAsia="仿宋" w:cstheme="minorBidi"/>
                <w:bCs/>
                <w:kern w:val="2"/>
                <w:sz w:val="21"/>
                <w:szCs w:val="21"/>
                <w:lang w:val="en-US" w:eastAsia="zh-CN" w:bidi="ar-SA"/>
              </w:rPr>
            </w:pPr>
            <w:r>
              <w:rPr>
                <w:rFonts w:hint="default" w:ascii="仿宋" w:hAnsi="仿宋" w:eastAsia="仿宋" w:cstheme="minorBidi"/>
                <w:bCs/>
                <w:kern w:val="2"/>
                <w:sz w:val="21"/>
                <w:szCs w:val="21"/>
                <w:lang w:val="en-US" w:eastAsia="zh-CN" w:bidi="ar-SA"/>
              </w:rPr>
              <w:t>亚信安全防毒墙网络版 V16.0</w:t>
            </w:r>
            <w:r>
              <w:rPr>
                <w:rFonts w:hint="eastAsia" w:ascii="仿宋" w:hAnsi="仿宋" w:eastAsia="仿宋" w:cstheme="minorBidi"/>
                <w:bCs/>
                <w:kern w:val="2"/>
                <w:sz w:val="21"/>
                <w:szCs w:val="21"/>
                <w:lang w:val="en-US" w:eastAsia="zh-CN" w:bidi="ar-SA"/>
              </w:rPr>
              <w:t>（</w:t>
            </w:r>
            <w:r>
              <w:rPr>
                <w:rFonts w:hint="default" w:ascii="仿宋" w:hAnsi="仿宋" w:eastAsia="仿宋" w:cstheme="minorBidi"/>
                <w:bCs/>
                <w:kern w:val="2"/>
                <w:sz w:val="21"/>
                <w:szCs w:val="21"/>
                <w:lang w:val="en-US" w:eastAsia="zh-CN" w:bidi="ar-SA"/>
              </w:rPr>
              <w:t>亚信</w:t>
            </w:r>
            <w:r>
              <w:rPr>
                <w:rFonts w:hint="eastAsia" w:ascii="仿宋" w:hAnsi="仿宋" w:eastAsia="仿宋" w:cstheme="minorBidi"/>
                <w:bCs/>
                <w:kern w:val="2"/>
                <w:sz w:val="21"/>
                <w:szCs w:val="21"/>
                <w:lang w:val="en-US" w:eastAsia="zh-CN" w:bidi="ar-SA"/>
              </w:rPr>
              <w:t>OSCE v16 客户机版）</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F59A0D5">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不少于600个客户机终端杀毒的一年使用授权，含病毒库、IPS库等更新许可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4B433171">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1套</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D9069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4808E0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00BC75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5F45E9F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FAB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6" w:type="dxa"/>
            <w:vMerge w:val="continue"/>
            <w:tcBorders>
              <w:left w:val="single" w:color="auto" w:sz="4" w:space="0"/>
              <w:right w:val="single" w:color="auto" w:sz="4" w:space="0"/>
            </w:tcBorders>
            <w:noWrap w:val="0"/>
            <w:vAlign w:val="center"/>
          </w:tcPr>
          <w:p w14:paraId="25A998BF">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299142F8">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出口</w:t>
            </w:r>
            <w:r>
              <w:rPr>
                <w:rFonts w:hint="default" w:ascii="仿宋" w:hAnsi="仿宋" w:eastAsia="仿宋" w:cstheme="minorBidi"/>
                <w:bCs/>
                <w:kern w:val="2"/>
                <w:sz w:val="21"/>
                <w:szCs w:val="21"/>
                <w:lang w:val="en-US" w:eastAsia="zh-CN" w:bidi="ar-SA"/>
              </w:rPr>
              <w:t>防火墙</w:t>
            </w:r>
            <w:r>
              <w:rPr>
                <w:rFonts w:hint="eastAsia" w:ascii="仿宋" w:hAnsi="仿宋" w:eastAsia="仿宋" w:cstheme="minorBidi"/>
                <w:bCs/>
                <w:kern w:val="2"/>
                <w:sz w:val="21"/>
                <w:szCs w:val="21"/>
                <w:lang w:val="en-US" w:eastAsia="zh-CN" w:bidi="ar-SA"/>
              </w:rPr>
              <w:t>NGFW4000-UF(NG-51412-A)</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2B4908D">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一年的设备延保及病毒库、IPS库等更新许可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5C391371">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2EFDC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2B5AD2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6E3BEC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2A54C5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9A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56" w:type="dxa"/>
            <w:vMerge w:val="continue"/>
            <w:tcBorders>
              <w:left w:val="single" w:color="auto" w:sz="4" w:space="0"/>
              <w:right w:val="single" w:color="auto" w:sz="4" w:space="0"/>
            </w:tcBorders>
            <w:noWrap w:val="0"/>
            <w:vAlign w:val="center"/>
          </w:tcPr>
          <w:p w14:paraId="2BF2138A">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1B3D31B7">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绿盟防火墙</w:t>
            </w:r>
            <w:r>
              <w:rPr>
                <w:rFonts w:hint="default" w:ascii="仿宋" w:hAnsi="仿宋" w:eastAsia="仿宋" w:cstheme="minorBidi"/>
                <w:bCs/>
                <w:kern w:val="2"/>
                <w:sz w:val="21"/>
                <w:szCs w:val="21"/>
                <w:lang w:val="en-US" w:eastAsia="zh-CN" w:bidi="ar-SA"/>
              </w:rPr>
              <w:t>NFNX3-HDB1480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4A53CC8">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一年的设备延保及病毒库、IPS库等更新许可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66F75310">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6D7D1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428EE2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14D733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131485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310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56" w:type="dxa"/>
            <w:vMerge w:val="continue"/>
            <w:tcBorders>
              <w:left w:val="single" w:color="auto" w:sz="4" w:space="0"/>
              <w:right w:val="single" w:color="auto" w:sz="4" w:space="0"/>
            </w:tcBorders>
            <w:noWrap w:val="0"/>
            <w:vAlign w:val="center"/>
          </w:tcPr>
          <w:p w14:paraId="42C4C3D3">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CC100E5">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绿盟web应用防火墙（WAFNX3-HDB308）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7E988A1">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一年的设备延保及病毒库、IPS库等更新许可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34A96FD0">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74BF51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1058C2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1839E4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742A2A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8B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56" w:type="dxa"/>
            <w:vMerge w:val="continue"/>
            <w:tcBorders>
              <w:left w:val="single" w:color="auto" w:sz="4" w:space="0"/>
              <w:right w:val="single" w:color="auto" w:sz="4" w:space="0"/>
            </w:tcBorders>
            <w:noWrap w:val="0"/>
            <w:vAlign w:val="center"/>
          </w:tcPr>
          <w:p w14:paraId="748737B8">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D53D3B7">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深信服防火墙（AF-1000-B1510-2M）</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0AD3044D">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一年的设备延保及病毒库、IPS库等更新许可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4846CB69">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9F04A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3ED9501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746893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3E9AE2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AC9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56" w:type="dxa"/>
            <w:vMerge w:val="continue"/>
            <w:tcBorders>
              <w:left w:val="single" w:color="auto" w:sz="4" w:space="0"/>
              <w:right w:val="single" w:color="auto" w:sz="4" w:space="0"/>
            </w:tcBorders>
            <w:noWrap w:val="0"/>
            <w:vAlign w:val="center"/>
          </w:tcPr>
          <w:p w14:paraId="6E4A8C4F">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B2C651C">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深信服上网行为管（AC-1000-D600）</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11F196A5">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一年的设备延保及病毒库、IPS库等更新许可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696DC6FC">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B066C4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1440F6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6700920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7D1325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2A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tcBorders>
              <w:left w:val="single" w:color="auto" w:sz="4" w:space="0"/>
              <w:right w:val="single" w:color="auto" w:sz="4" w:space="0"/>
            </w:tcBorders>
            <w:noWrap w:val="0"/>
            <w:vAlign w:val="center"/>
          </w:tcPr>
          <w:p w14:paraId="721768FE">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D4ADB93">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深信服7*24小时安全托管服务</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54FE9F79">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一年的院内DMZ区服务器资产MSS安全托管服务</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193F44F6">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1套</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30020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34A13A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184850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06D58D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F6F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56" w:type="dxa"/>
            <w:vMerge w:val="continue"/>
            <w:tcBorders>
              <w:left w:val="single" w:color="auto" w:sz="4" w:space="0"/>
              <w:bottom w:val="single" w:color="auto" w:sz="4" w:space="0"/>
              <w:right w:val="single" w:color="auto" w:sz="4" w:space="0"/>
            </w:tcBorders>
            <w:noWrap w:val="0"/>
            <w:vAlign w:val="center"/>
          </w:tcPr>
          <w:p w14:paraId="1663F6A9">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AF19872">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奇安信网神统一服务器安全管理系统V8.0虚拟化安全防护产品(增强型)</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20509399">
            <w:pPr>
              <w:pStyle w:val="24"/>
              <w:spacing w:before="122" w:line="219" w:lineRule="auto"/>
              <w:ind w:left="94"/>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提供16颗虚拟化防护CPU的一年病毒防御规则库和1年入侵防御规则库升级更新许可</w:t>
            </w:r>
          </w:p>
          <w:p w14:paraId="07F35D07">
            <w:pPr>
              <w:rPr>
                <w:rFonts w:hint="eastAsia" w:ascii="仿宋" w:hAnsi="仿宋" w:eastAsia="仿宋" w:cstheme="minorBidi"/>
                <w:bCs/>
                <w:kern w:val="2"/>
                <w:sz w:val="21"/>
                <w:szCs w:val="21"/>
                <w:lang w:val="en-US" w:eastAsia="zh-CN" w:bidi="ar-SA"/>
              </w:rPr>
            </w:pP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0DF66B35">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1套</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EB9B9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0D9770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59A6B0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7B36D75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EFCBB8A">
      <w:pPr>
        <w:spacing w:line="280" w:lineRule="exac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注：报价包括总价及分项报价表，请提供分项报价表并加盖公章。</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57284E"/>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674056"/>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8970FE"/>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2F249A0"/>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0A4705"/>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595A97"/>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autoRedefine/>
    <w:qFormat/>
    <w:uiPriority w:val="0"/>
    <w:pPr>
      <w:spacing w:after="120"/>
    </w:p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strike/>
      <w:color w:val="000000"/>
      <w:sz w:val="21"/>
      <w:szCs w:val="21"/>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 w:type="paragraph" w:customStyle="1" w:styleId="24">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1999</Words>
  <Characters>2261</Characters>
  <Lines>6</Lines>
  <Paragraphs>1</Paragraphs>
  <TotalTime>1</TotalTime>
  <ScaleCrop>false</ScaleCrop>
  <LinksUpToDate>false</LinksUpToDate>
  <CharactersWithSpaces>2364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2026-04-28T01:15:52Z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