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六安市中医院重症塔桥电源插座更换维修服务项目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firstLine="909" w:firstLineChars="3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重症塔桥电源插座更换维修服务项目</w:t>
      </w:r>
    </w:p>
    <w:p w14:paraId="6C53801A">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2026101</w:t>
      </w:r>
      <w:r>
        <w:rPr>
          <w:rFonts w:hint="eastAsia" w:ascii="宋体" w:hAnsi="DotumChe" w:cs="宋体"/>
          <w:b/>
          <w:color w:val="000000" w:themeColor="text1"/>
          <w:spacing w:val="11"/>
          <w:kern w:val="0"/>
          <w:sz w:val="28"/>
          <w:szCs w:val="28"/>
          <w:lang w:val="en-US" w:eastAsia="zh-CN"/>
          <w14:textFill>
            <w14:solidFill>
              <w14:schemeClr w14:val="tx1"/>
            </w14:solidFill>
          </w14:textFill>
        </w:rPr>
        <w:t xml:space="preserve"> </w:t>
      </w:r>
      <w:r>
        <w:rPr>
          <w:rFonts w:hint="eastAsia" w:ascii="宋体" w:hAnsi="DotumChe" w:cs="宋体"/>
          <w:b/>
          <w:spacing w:val="11"/>
          <w:kern w:val="0"/>
          <w:sz w:val="28"/>
          <w:szCs w:val="28"/>
          <w:lang w:val="en-US" w:eastAsia="zh-CN"/>
        </w:rPr>
        <w:t xml:space="preserve"> </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4636"/>
      <w:bookmarkStart w:id="1" w:name="_Toc11249"/>
      <w:bookmarkStart w:id="2" w:name="_Toc10464"/>
      <w:r>
        <w:rPr>
          <w:rFonts w:hint="eastAsia" w:ascii="宋体" w:hAnsi="DotumChe" w:eastAsia="宋体" w:cs="宋体"/>
          <w:b/>
          <w:spacing w:val="11"/>
          <w:kern w:val="0"/>
          <w:sz w:val="28"/>
          <w:szCs w:val="28"/>
          <w:lang w:val="en-US" w:eastAsia="zh-CN"/>
        </w:rPr>
        <w:t>2025年</w:t>
      </w:r>
      <w:r>
        <w:rPr>
          <w:rFonts w:hint="eastAsia" w:ascii="宋体" w:hAnsi="DotumChe" w:cs="宋体"/>
          <w:b/>
          <w:spacing w:val="11"/>
          <w:kern w:val="0"/>
          <w:sz w:val="28"/>
          <w:szCs w:val="28"/>
          <w:lang w:val="en-US" w:eastAsia="zh-CN"/>
        </w:rPr>
        <w:t>7</w:t>
      </w:r>
      <w:r>
        <w:rPr>
          <w:rFonts w:hint="eastAsia" w:ascii="宋体" w:hAnsi="DotumChe" w:eastAsia="宋体" w:cs="宋体"/>
          <w:b/>
          <w:color w:val="auto"/>
          <w:spacing w:val="11"/>
          <w:kern w:val="0"/>
          <w:sz w:val="28"/>
          <w:szCs w:val="28"/>
          <w:lang w:val="en-US" w:eastAsia="zh-CN"/>
        </w:rPr>
        <w:t>月</w:t>
      </w:r>
    </w:p>
    <w:p w14:paraId="2A6806AD">
      <w:pPr>
        <w:pStyle w:val="2"/>
        <w:spacing w:before="240" w:beforeLines="100"/>
        <w:jc w:val="both"/>
        <w:rPr>
          <w:b/>
          <w:bCs/>
          <w:sz w:val="32"/>
          <w:szCs w:val="28"/>
        </w:rPr>
      </w:pPr>
      <w:r>
        <w:rPr>
          <w:rFonts w:hint="eastAsia"/>
          <w:b/>
          <w:bCs/>
          <w:sz w:val="32"/>
          <w:szCs w:val="28"/>
        </w:rPr>
        <w:br w:type="page"/>
      </w:r>
      <w:bookmarkStart w:id="3" w:name="_Toc9208"/>
      <w:bookmarkStart w:id="4" w:name="_Toc31241"/>
      <w:bookmarkStart w:id="5" w:name="_Toc28182"/>
      <w:bookmarkStart w:id="6" w:name="_Toc8908"/>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14642"/>
      <w:bookmarkStart w:id="8" w:name="_Toc29179"/>
      <w:bookmarkStart w:id="9" w:name="_Toc30750"/>
      <w:bookmarkStart w:id="10" w:name="_Toc913"/>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六安市中医院重症塔桥电源插座更换维修服务项目</w:t>
      </w:r>
      <w:r>
        <w:rPr>
          <w:b/>
          <w:bCs/>
          <w:i w:val="0"/>
          <w:iCs w:val="0"/>
          <w:caps w:val="0"/>
          <w:color w:val="0F305D"/>
          <w:spacing w:val="0"/>
          <w:sz w:val="39"/>
          <w:szCs w:val="39"/>
        </w:rPr>
        <w:t>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6101</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重症塔桥电源插座更换维修服务项目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4.5</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4.5</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7</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24</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r>
        <w:rPr>
          <w:rFonts w:hint="eastAsia" w:ascii="楷体" w:hAnsi="楷体" w:eastAsia="楷体" w:cs="楷体"/>
          <w:i w:val="0"/>
          <w:iCs w:val="0"/>
          <w:caps w:val="0"/>
          <w:color w:val="797154"/>
          <w:spacing w:val="0"/>
          <w:sz w:val="30"/>
          <w:szCs w:val="30"/>
          <w:lang w:eastAsia="zh-CN"/>
        </w:rPr>
        <w:t>密封</w:t>
      </w:r>
      <w:r>
        <w:rPr>
          <w:rFonts w:hint="eastAsia" w:ascii="楷体" w:hAnsi="楷体" w:eastAsia="楷体" w:cs="楷体"/>
          <w:i w:val="0"/>
          <w:iCs w:val="0"/>
          <w:caps w:val="0"/>
          <w:color w:val="797154"/>
          <w:spacing w:val="0"/>
          <w:sz w:val="30"/>
          <w:szCs w:val="30"/>
        </w:rPr>
        <w:t>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7</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24</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楼</w:t>
      </w:r>
      <w:r>
        <w:rPr>
          <w:rFonts w:hint="eastAsia" w:ascii="楷体" w:hAnsi="楷体" w:eastAsia="楷体" w:cs="楷体"/>
          <w:i w:val="0"/>
          <w:iCs w:val="0"/>
          <w:caps w:val="0"/>
          <w:color w:val="797154"/>
          <w:spacing w:val="0"/>
          <w:sz w:val="30"/>
          <w:szCs w:val="30"/>
          <w:lang w:val="en-US" w:eastAsia="zh-CN"/>
        </w:rPr>
        <w:t>物流管理部</w:t>
      </w:r>
      <w:r>
        <w:rPr>
          <w:rFonts w:hint="eastAsia" w:ascii="楷体" w:hAnsi="楷体" w:eastAsia="楷体" w:cs="楷体"/>
          <w:i w:val="0"/>
          <w:iCs w:val="0"/>
          <w:caps w:val="0"/>
          <w:color w:val="797154"/>
          <w:spacing w:val="0"/>
          <w:sz w:val="30"/>
          <w:szCs w:val="30"/>
        </w:rPr>
        <w:t>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lang w:eastAsia="zh-CN"/>
        </w:rPr>
        <w:t>胡</w:t>
      </w:r>
      <w:r>
        <w:rPr>
          <w:rFonts w:hint="eastAsia" w:ascii="楷体" w:hAnsi="楷体" w:eastAsia="楷体" w:cs="楷体"/>
          <w:i w:val="0"/>
          <w:iCs w:val="0"/>
          <w:caps w:val="0"/>
          <w:color w:val="797154"/>
          <w:spacing w:val="0"/>
          <w:sz w:val="30"/>
          <w:szCs w:val="30"/>
        </w:rPr>
        <w:t>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216158627"/>
      <w:bookmarkStart w:id="16" w:name="_Toc36319926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六安市中医院重症塔桥电源插座更换维修服务项目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w:t>
            </w:r>
            <w:r>
              <w:rPr>
                <w:rFonts w:hint="eastAsia" w:ascii="宋体" w:hAnsi="宋体" w:cs="Times New Roman"/>
                <w:b w:val="0"/>
                <w:bCs w:val="0"/>
                <w:kern w:val="0"/>
                <w:sz w:val="24"/>
                <w:szCs w:val="24"/>
                <w:lang w:val="en-US" w:eastAsia="zh-CN" w:bidi="ar-SA"/>
              </w:rPr>
              <w:t>101</w:t>
            </w:r>
            <w:bookmarkStart w:id="94" w:name="_GoBack"/>
            <w:bookmarkEnd w:id="94"/>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w:t>
            </w:r>
            <w:r>
              <w:rPr>
                <w:rFonts w:hint="eastAsia" w:cs="宋体"/>
                <w:b w:val="0"/>
                <w:bCs w:val="0"/>
                <w:color w:val="auto"/>
                <w:sz w:val="24"/>
                <w:highlight w:val="none"/>
                <w:lang w:eastAsia="zh-CN"/>
              </w:rPr>
              <w:t>，按需供货，据实结算</w:t>
            </w:r>
            <w:r>
              <w:rPr>
                <w:rFonts w:hint="eastAsia" w:cs="宋体"/>
                <w:b w:val="0"/>
                <w:bCs w:val="0"/>
                <w:color w:val="auto"/>
                <w:sz w:val="24"/>
                <w:highlight w:val="none"/>
              </w:rPr>
              <w:t>。</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438648662"/>
      <w:bookmarkStart w:id="20" w:name="_Toc216158625"/>
      <w:bookmarkStart w:id="21" w:name="_Toc363199266"/>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16765"/>
      <w:bookmarkStart w:id="24" w:name="_Toc3981"/>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21368"/>
      <w:bookmarkStart w:id="26" w:name="_Toc16381"/>
      <w:bookmarkStart w:id="27" w:name="_Toc16946"/>
      <w:bookmarkStart w:id="28" w:name="_Toc24091"/>
      <w:bookmarkStart w:id="29" w:name="_Toc636"/>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16951"/>
      <w:bookmarkStart w:id="31" w:name="_Toc10111"/>
      <w:bookmarkStart w:id="32" w:name="_Toc28899"/>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7230"/>
      <w:bookmarkStart w:id="34" w:name="_Toc27404"/>
      <w:bookmarkStart w:id="35" w:name="_Toc2453"/>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5003"/>
      <w:bookmarkStart w:id="37" w:name="_Toc25972"/>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6858"/>
      <w:bookmarkStart w:id="39" w:name="_Toc28510"/>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23538"/>
      <w:bookmarkStart w:id="41" w:name="_Toc8827"/>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 xml:space="preserve">                           </w:t>
      </w:r>
      <w:r>
        <w:rPr>
          <w:rFonts w:ascii="宋体" w:hAnsi="宋体" w:cs="宋体"/>
          <w:spacing w:val="-6"/>
          <w:sz w:val="24"/>
          <w:u w:val="single"/>
        </w:rPr>
        <w:t xml:space="preserve"> </w:t>
      </w:r>
    </w:p>
    <w:p w14:paraId="7415CF3E">
      <w:pPr>
        <w:spacing w:before="78" w:line="220" w:lineRule="auto"/>
        <w:ind w:left="1001"/>
        <w:rPr>
          <w:rFonts w:hint="eastAsia" w:ascii="宋体" w:hAnsi="宋体" w:eastAsia="宋体" w:cs="宋体"/>
          <w:spacing w:val="-6"/>
          <w:sz w:val="24"/>
          <w:lang w:val="en-US" w:eastAsia="zh-CN"/>
        </w:rPr>
      </w:pPr>
      <w:r>
        <w:rPr>
          <w:rFonts w:hint="eastAsia" w:ascii="宋体" w:hAnsi="宋体" w:cs="宋体"/>
          <w:spacing w:val="-6"/>
          <w:sz w:val="24"/>
          <w:lang w:val="en-US" w:eastAsia="zh-CN"/>
        </w:rPr>
        <w:t xml:space="preserve"> </w:t>
      </w: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hint="eastAsia" w:ascii="宋体" w:hAnsi="宋体" w:cs="宋体"/>
          <w:spacing w:val="-1"/>
          <w:position w:val="17"/>
          <w:sz w:val="24"/>
          <w:lang w:val="en-US" w:eastAsia="zh-CN"/>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：合同签订后，按需供货，据实结算。</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eastAsia="zh-CN"/>
        </w:rPr>
        <w:t>配送</w:t>
      </w:r>
      <w:r>
        <w:rPr>
          <w:rFonts w:hint="eastAsia" w:ascii="宋体" w:hAnsi="宋体" w:cs="宋体"/>
          <w:spacing w:val="-18"/>
          <w:sz w:val="24"/>
          <w:lang w:val="en-US" w:eastAsia="zh-CN"/>
        </w:rPr>
        <w:t>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1"/>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Times New Roman" w:hAnsi="Times New Roman"/>
          <w:b/>
          <w:bCs/>
          <w:kern w:val="2"/>
          <w:sz w:val="32"/>
          <w:szCs w:val="32"/>
          <w:u w:val="none"/>
        </w:rPr>
        <w:t>采购需求</w:t>
      </w:r>
      <w:bookmarkEnd w:id="49"/>
    </w:p>
    <w:p w14:paraId="57489AB2">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投标人必须保证所有配件为全新、合格产品，来源正规（三孔10A插座，具体样式如下图例）。</w:t>
      </w:r>
    </w:p>
    <w:p w14:paraId="475602BF">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投标文件内清晰提供投标总价及各分项报价，评审时以总价最低价为基准，报价含拆装等人工费。</w:t>
      </w:r>
    </w:p>
    <w:p w14:paraId="6130F57D">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3、清单数量为预估需求量，合同签订后根据科室实际使用量据实结算。</w:t>
      </w:r>
      <w:bookmarkStart w:id="50" w:name="_Toc31618"/>
    </w:p>
    <w:p w14:paraId="7D9796C0">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4、插座为重症学科塔桥使用，要求插拔夹持力强，插头插入稳固不易松脱断电，插座整体质保不低于1年，含上门检修，更换触点。</w:t>
      </w:r>
    </w:p>
    <w:p w14:paraId="3085B19D">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5、抗菌阻燃材质，耐高温、不易燃，耐 84、含氯消毒剂、酒精反复擦拭，不发白、不开裂。</w:t>
      </w:r>
    </w:p>
    <w:p w14:paraId="50CC5B2C">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6、接地必须与原接地方式保持一致，消除设备共模干扰。</w:t>
      </w:r>
    </w:p>
    <w:p w14:paraId="4AED6997">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7、更换后逐座测电压、接地电阻、等电位等情况。</w:t>
      </w:r>
    </w:p>
    <w:p w14:paraId="2DDE8897">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8、因重症科室的特殊性，插座更换断电分段施工，单床位逐塔更换，特殊重患者无法周转的需分批次更换。</w:t>
      </w:r>
    </w:p>
    <w:p w14:paraId="58479A32">
      <w:p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9、更换过程中确保人员、电路系统、消防等所有安全，施工人员安全由中标人全部承担。</w:t>
      </w:r>
    </w:p>
    <w:p w14:paraId="38643A16">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10、具体需求：</w:t>
      </w:r>
    </w:p>
    <w:p w14:paraId="3AA3B8C9">
      <w:pPr>
        <w:jc w:val="both"/>
        <w:rPr>
          <w:rFonts w:hint="default" w:ascii="宋体" w:hAnsi="宋体" w:eastAsia="宋体" w:cs="宋体"/>
          <w:i w:val="0"/>
          <w:iCs w:val="0"/>
          <w:color w:val="000000"/>
          <w:kern w:val="0"/>
          <w:sz w:val="28"/>
          <w:szCs w:val="28"/>
          <w:u w:val="none"/>
          <w:lang w:val="en-US" w:eastAsia="zh-CN" w:bidi="ar"/>
        </w:rPr>
      </w:pPr>
      <w:r>
        <w:rPr>
          <w:rFonts w:hint="eastAsia" w:asciiTheme="minorEastAsia" w:hAnsiTheme="minorEastAsia" w:eastAsiaTheme="minorEastAsia" w:cstheme="minorEastAsia"/>
          <w:b w:val="0"/>
          <w:bCs w:val="0"/>
          <w:kern w:val="2"/>
          <w:sz w:val="28"/>
          <w:szCs w:val="28"/>
          <w:u w:val="none"/>
          <w:lang w:val="en-US" w:eastAsia="zh-CN"/>
        </w:rPr>
        <w:t>①</w:t>
      </w:r>
      <w:r>
        <w:rPr>
          <w:rFonts w:hint="eastAsia" w:ascii="宋体" w:hAnsi="宋体" w:eastAsia="宋体" w:cs="宋体"/>
          <w:i w:val="0"/>
          <w:iCs w:val="0"/>
          <w:color w:val="000000"/>
          <w:kern w:val="0"/>
          <w:sz w:val="28"/>
          <w:szCs w:val="28"/>
          <w:u w:val="none"/>
          <w:lang w:val="en-US" w:eastAsia="zh-CN" w:bidi="ar"/>
        </w:rPr>
        <w:t>湖南太阳龙YDT-IDT-2组合塔3组，16个插座/组，共48个插座。</w:t>
      </w:r>
    </w:p>
    <w:p w14:paraId="7345ACF2">
      <w:pPr>
        <w:jc w:val="both"/>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②湖南太阳龙YDT-DQ吊桥14组，16个插座/组，共224个插座。</w:t>
      </w:r>
    </w:p>
    <w:p w14:paraId="7294B2C3">
      <w:p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③上海正华EXP-30-C吊桥12组，15个插座/组，共180个插座。</w:t>
      </w:r>
    </w:p>
    <w:p w14:paraId="3557CBF0">
      <w:p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④上海正华EXP-30-C吊桥12组，装饰帘2个/组，共24个饰帘。</w:t>
      </w:r>
    </w:p>
    <w:p w14:paraId="36F56989">
      <w:pPr>
        <w:jc w:val="both"/>
        <w:rPr>
          <w:rFonts w:hint="default" w:asciiTheme="minorEastAsia" w:hAnsiTheme="minorEastAsia" w:eastAsiaTheme="minorEastAsia" w:cstheme="minorEastAsia"/>
          <w:b w:val="0"/>
          <w:bCs w:val="0"/>
          <w:kern w:val="2"/>
          <w:sz w:val="28"/>
          <w:szCs w:val="28"/>
          <w:u w:val="none"/>
          <w:lang w:val="en-US" w:eastAsia="zh-CN"/>
        </w:rPr>
      </w:pPr>
    </w:p>
    <w:p w14:paraId="2F156AC1">
      <w:p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图一：湖南太阳龙塔桥插座样式</w:t>
      </w:r>
    </w:p>
    <w:p w14:paraId="2CAE95DE">
      <w:pPr>
        <w:jc w:val="both"/>
        <w:rPr>
          <w:rFonts w:hint="default" w:asciiTheme="minorEastAsia" w:hAnsiTheme="minorEastAsia" w:eastAsiaTheme="minorEastAsia" w:cstheme="minorEastAsia"/>
          <w:b w:val="0"/>
          <w:bCs w:val="0"/>
          <w:kern w:val="2"/>
          <w:sz w:val="28"/>
          <w:szCs w:val="28"/>
          <w:u w:val="none"/>
          <w:lang w:val="en-US" w:eastAsia="zh-CN"/>
        </w:rPr>
      </w:pPr>
      <w:r>
        <w:rPr>
          <w:rFonts w:hint="default" w:asciiTheme="minorEastAsia" w:hAnsiTheme="minorEastAsia" w:eastAsiaTheme="minorEastAsia" w:cstheme="minorEastAsia"/>
          <w:b w:val="0"/>
          <w:bCs w:val="0"/>
          <w:kern w:val="2"/>
          <w:sz w:val="28"/>
          <w:szCs w:val="28"/>
          <w:u w:val="none"/>
          <w:lang w:val="en-US" w:eastAsia="zh-CN"/>
        </w:rPr>
        <w:drawing>
          <wp:inline distT="0" distB="0" distL="114300" distR="114300">
            <wp:extent cx="3236595" cy="5753735"/>
            <wp:effectExtent l="0" t="0" r="1905" b="18415"/>
            <wp:docPr id="9" name="图片 9" descr="b7afcf9493839a846d26b1e75587fa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7afcf9493839a846d26b1e75587fa89"/>
                    <pic:cNvPicPr>
                      <a:picLocks noChangeAspect="1"/>
                    </pic:cNvPicPr>
                  </pic:nvPicPr>
                  <pic:blipFill>
                    <a:blip r:embed="rId19"/>
                    <a:stretch>
                      <a:fillRect/>
                    </a:stretch>
                  </pic:blipFill>
                  <pic:spPr>
                    <a:xfrm>
                      <a:off x="0" y="0"/>
                      <a:ext cx="3236595" cy="5753735"/>
                    </a:xfrm>
                    <a:prstGeom prst="rect">
                      <a:avLst/>
                    </a:prstGeom>
                  </pic:spPr>
                </pic:pic>
              </a:graphicData>
            </a:graphic>
          </wp:inline>
        </w:drawing>
      </w:r>
    </w:p>
    <w:p w14:paraId="6186F00F">
      <w:pPr>
        <w:jc w:val="both"/>
        <w:rPr>
          <w:rFonts w:hint="eastAsia" w:asciiTheme="minorEastAsia" w:hAnsiTheme="minorEastAsia" w:eastAsiaTheme="minorEastAsia" w:cstheme="minorEastAsia"/>
          <w:b w:val="0"/>
          <w:bCs w:val="0"/>
          <w:kern w:val="2"/>
          <w:sz w:val="28"/>
          <w:szCs w:val="28"/>
          <w:u w:val="none"/>
          <w:lang w:val="en-US" w:eastAsia="zh-CN"/>
        </w:rPr>
      </w:pPr>
    </w:p>
    <w:p w14:paraId="226E9A02">
      <w:pPr>
        <w:jc w:val="both"/>
        <w:rPr>
          <w:rFonts w:hint="eastAsia" w:asciiTheme="minorEastAsia" w:hAnsiTheme="minorEastAsia" w:eastAsiaTheme="minorEastAsia" w:cstheme="minorEastAsia"/>
          <w:b w:val="0"/>
          <w:bCs w:val="0"/>
          <w:kern w:val="2"/>
          <w:sz w:val="28"/>
          <w:szCs w:val="28"/>
          <w:u w:val="none"/>
          <w:lang w:val="en-US" w:eastAsia="zh-CN"/>
        </w:rPr>
      </w:pPr>
    </w:p>
    <w:p w14:paraId="7767949A">
      <w:pPr>
        <w:jc w:val="both"/>
        <w:rPr>
          <w:rFonts w:hint="eastAsia" w:asciiTheme="minorEastAsia" w:hAnsiTheme="minorEastAsia" w:eastAsiaTheme="minorEastAsia" w:cstheme="minorEastAsia"/>
          <w:b w:val="0"/>
          <w:bCs w:val="0"/>
          <w:kern w:val="2"/>
          <w:sz w:val="28"/>
          <w:szCs w:val="28"/>
          <w:u w:val="none"/>
          <w:lang w:val="en-US" w:eastAsia="zh-CN"/>
        </w:rPr>
      </w:pPr>
    </w:p>
    <w:p w14:paraId="3A1E3538">
      <w:pPr>
        <w:jc w:val="both"/>
        <w:rPr>
          <w:rFonts w:hint="eastAsia" w:asciiTheme="minorEastAsia" w:hAnsiTheme="minorEastAsia" w:eastAsiaTheme="minorEastAsia" w:cstheme="minorEastAsia"/>
          <w:b w:val="0"/>
          <w:bCs w:val="0"/>
          <w:kern w:val="2"/>
          <w:sz w:val="28"/>
          <w:szCs w:val="28"/>
          <w:u w:val="none"/>
          <w:lang w:val="en-US" w:eastAsia="zh-CN"/>
        </w:rPr>
      </w:pPr>
    </w:p>
    <w:p w14:paraId="131F61E0">
      <w:pPr>
        <w:jc w:val="both"/>
        <w:rPr>
          <w:rFonts w:hint="eastAsia" w:asciiTheme="minorEastAsia" w:hAnsiTheme="minorEastAsia" w:eastAsiaTheme="minorEastAsia" w:cstheme="minorEastAsia"/>
          <w:b w:val="0"/>
          <w:bCs w:val="0"/>
          <w:kern w:val="2"/>
          <w:sz w:val="28"/>
          <w:szCs w:val="28"/>
          <w:u w:val="none"/>
          <w:lang w:val="en-US" w:eastAsia="zh-CN"/>
        </w:rPr>
      </w:pPr>
    </w:p>
    <w:p w14:paraId="2D28EEC5">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图二：上海正华品牌吊桥插座及装饰帘示图</w:t>
      </w:r>
    </w:p>
    <w:p w14:paraId="57E11F04">
      <w:pPr>
        <w:jc w:val="both"/>
      </w:pPr>
      <w:r>
        <w:drawing>
          <wp:inline distT="0" distB="0" distL="114300" distR="114300">
            <wp:extent cx="5272405" cy="2365375"/>
            <wp:effectExtent l="0" t="0" r="4445" b="1587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0"/>
                    <a:stretch>
                      <a:fillRect/>
                    </a:stretch>
                  </pic:blipFill>
                  <pic:spPr>
                    <a:xfrm>
                      <a:off x="0" y="0"/>
                      <a:ext cx="5272405" cy="2365375"/>
                    </a:xfrm>
                    <a:prstGeom prst="rect">
                      <a:avLst/>
                    </a:prstGeom>
                    <a:noFill/>
                    <a:ln>
                      <a:noFill/>
                    </a:ln>
                  </pic:spPr>
                </pic:pic>
              </a:graphicData>
            </a:graphic>
          </wp:inline>
        </w:drawing>
      </w:r>
    </w:p>
    <w:p w14:paraId="21D78DD4">
      <w:pPr>
        <w:jc w:val="both"/>
        <w:rPr>
          <w:rFonts w:hint="eastAsia" w:eastAsia="宋体"/>
          <w:lang w:val="en-US" w:eastAsia="zh-CN"/>
        </w:rPr>
      </w:pPr>
      <w:r>
        <w:rPr>
          <w:rFonts w:hint="eastAsia" w:eastAsia="宋体"/>
          <w:lang w:val="en-US" w:eastAsia="zh-CN"/>
        </w:rPr>
        <w:drawing>
          <wp:inline distT="0" distB="0" distL="114300" distR="114300">
            <wp:extent cx="5264785" cy="3947160"/>
            <wp:effectExtent l="0" t="0" r="12065" b="15240"/>
            <wp:docPr id="11" name="图片 11" descr="9b146f08567a3212136828cd8d917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b146f08567a3212136828cd8d91719b"/>
                    <pic:cNvPicPr>
                      <a:picLocks noChangeAspect="1"/>
                    </pic:cNvPicPr>
                  </pic:nvPicPr>
                  <pic:blipFill>
                    <a:blip r:embed="rId21"/>
                    <a:stretch>
                      <a:fillRect/>
                    </a:stretch>
                  </pic:blipFill>
                  <pic:spPr>
                    <a:xfrm>
                      <a:off x="0" y="0"/>
                      <a:ext cx="5264785" cy="3947160"/>
                    </a:xfrm>
                    <a:prstGeom prst="rect">
                      <a:avLst/>
                    </a:prstGeom>
                  </pic:spPr>
                </pic:pic>
              </a:graphicData>
            </a:graphic>
          </wp:inline>
        </w:drawing>
      </w: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0E3881F1">
      <w:pPr>
        <w:spacing w:before="156" w:beforeLines="50" w:after="156" w:afterLines="50" w:line="540" w:lineRule="exact"/>
        <w:ind w:left="0" w:leftChars="0" w:right="0" w:rightChars="0" w:firstLine="0" w:firstLineChars="0"/>
        <w:jc w:val="center"/>
        <w:rPr>
          <w:rStyle w:val="17"/>
          <w:rFonts w:hint="eastAsia" w:ascii="宋体" w:hAnsi="宋体" w:eastAsia="宋体" w:cs="宋体"/>
          <w:sz w:val="28"/>
          <w:szCs w:val="28"/>
          <w:lang w:val="en-US" w:eastAsia="zh-CN"/>
        </w:rPr>
      </w:pPr>
    </w:p>
    <w:p w14:paraId="366CA580">
      <w:pPr>
        <w:spacing w:before="156" w:beforeLines="50" w:after="156" w:afterLines="50" w:line="540" w:lineRule="exact"/>
        <w:ind w:left="0" w:leftChars="0" w:right="0" w:rightChars="0" w:firstLine="0" w:firstLineChars="0"/>
        <w:jc w:val="center"/>
        <w:rPr>
          <w:rStyle w:val="17"/>
          <w:rFonts w:hint="eastAsia" w:ascii="宋体" w:hAnsi="宋体" w:eastAsia="宋体" w:cs="宋体"/>
          <w:sz w:val="28"/>
          <w:szCs w:val="28"/>
          <w:lang w:val="en-US" w:eastAsia="zh-CN"/>
        </w:rPr>
      </w:pPr>
    </w:p>
    <w:p w14:paraId="140BA463">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5189"/>
      <w:bookmarkStart w:id="52" w:name="_Toc1857"/>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14928"/>
      <w:bookmarkStart w:id="54" w:name="_Toc2652"/>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15957"/>
      <w:bookmarkStart w:id="56" w:name="_Toc4873"/>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5601"/>
      <w:bookmarkStart w:id="58" w:name="_Toc23887"/>
      <w:bookmarkStart w:id="59" w:name="_Toc12332"/>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配件费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31189"/>
      <w:bookmarkStart w:id="63" w:name="_Toc17280"/>
      <w:bookmarkStart w:id="64" w:name="_Toc719"/>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3504"/>
      <w:bookmarkStart w:id="66" w:name="_Toc10622"/>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408"/>
      <w:bookmarkStart w:id="68" w:name="_Toc22870"/>
      <w:bookmarkStart w:id="69" w:name="_Toc10696"/>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6C6C99E1"/>
    <w:multiLevelType w:val="singleLevel"/>
    <w:tmpl w:val="6C6C9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07712DCB"/>
    <w:rsid w:val="0C8463E2"/>
    <w:rsid w:val="0DA30D0E"/>
    <w:rsid w:val="0EE86546"/>
    <w:rsid w:val="1B080EC0"/>
    <w:rsid w:val="1B7D660E"/>
    <w:rsid w:val="1BBE4FB3"/>
    <w:rsid w:val="22FC3A23"/>
    <w:rsid w:val="31D178E4"/>
    <w:rsid w:val="33474D9D"/>
    <w:rsid w:val="33503E39"/>
    <w:rsid w:val="3E547E3B"/>
    <w:rsid w:val="419A2202"/>
    <w:rsid w:val="42BD5602"/>
    <w:rsid w:val="470F670A"/>
    <w:rsid w:val="4AA42A54"/>
    <w:rsid w:val="4C1D24DD"/>
    <w:rsid w:val="54363CFC"/>
    <w:rsid w:val="58621116"/>
    <w:rsid w:val="59B87422"/>
    <w:rsid w:val="5A3A66BB"/>
    <w:rsid w:val="5A7C2ADE"/>
    <w:rsid w:val="5D060379"/>
    <w:rsid w:val="623F10A0"/>
    <w:rsid w:val="68B02EB0"/>
    <w:rsid w:val="69233DE1"/>
    <w:rsid w:val="6BE20961"/>
    <w:rsid w:val="6CEC21FD"/>
    <w:rsid w:val="72607A50"/>
    <w:rsid w:val="7B2956D5"/>
    <w:rsid w:val="7DA0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jpe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10302</Words>
  <Characters>10928</Characters>
  <Lines>0</Lines>
  <Paragraphs>0</Paragraphs>
  <TotalTime>21</TotalTime>
  <ScaleCrop>false</ScaleCrop>
  <LinksUpToDate>false</LinksUpToDate>
  <CharactersWithSpaces>11289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2026-07-20T03:27:35Z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