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一维水箱</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第三次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1370"/>
        <w:gridCol w:w="5081"/>
        <w:gridCol w:w="363"/>
        <w:gridCol w:w="550"/>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1"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55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1370"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081" w:type="dxa"/>
            <w:vAlign w:val="center"/>
          </w:tcPr>
          <w:p w14:paraId="1E36B171">
            <w:pPr>
              <w:spacing w:line="320" w:lineRule="exact"/>
              <w:jc w:val="center"/>
              <w:rPr>
                <w:rFonts w:hint="default" w:ascii="仿宋" w:hAnsi="仿宋" w:eastAsia="仿宋" w:cs="仿宋"/>
                <w:bCs/>
                <w:szCs w:val="21"/>
                <w:lang w:val="en-US" w:eastAsia="zh-CN"/>
              </w:rPr>
            </w:pPr>
          </w:p>
        </w:tc>
        <w:tc>
          <w:tcPr>
            <w:tcW w:w="363"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550"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1370" w:type="dxa"/>
            <w:shd w:val="clear" w:color="auto" w:fill="auto"/>
            <w:vAlign w:val="center"/>
          </w:tcPr>
          <w:p w14:paraId="590AE382">
            <w:pPr>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lang w:eastAsia="zh-CN"/>
              </w:rPr>
              <w:t>水箱材质</w:t>
            </w:r>
          </w:p>
        </w:tc>
        <w:tc>
          <w:tcPr>
            <w:tcW w:w="5081" w:type="dxa"/>
            <w:shd w:val="clear" w:color="auto" w:fill="auto"/>
            <w:vAlign w:val="center"/>
          </w:tcPr>
          <w:p w14:paraId="754E7928">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lang w:eastAsia="zh-CN"/>
              </w:rPr>
              <w:t>高透明亚克力PMMA，</w:t>
            </w:r>
            <w:r>
              <w:rPr>
                <w:rFonts w:hint="eastAsia"/>
                <w:color w:val="auto"/>
                <w:sz w:val="18"/>
                <w:szCs w:val="18"/>
              </w:rPr>
              <w:t>能满足垂直机头测试不同水深，提供支架可固定多种电离室，带泄水阀</w:t>
            </w:r>
          </w:p>
        </w:tc>
        <w:tc>
          <w:tcPr>
            <w:tcW w:w="363" w:type="dxa"/>
          </w:tcPr>
          <w:p w14:paraId="247471E5">
            <w:pPr>
              <w:spacing w:line="320" w:lineRule="exact"/>
              <w:jc w:val="left"/>
              <w:rPr>
                <w:rFonts w:hint="default" w:ascii="仿宋" w:hAnsi="仿宋" w:eastAsia="仿宋" w:cs="仿宋"/>
                <w:bCs/>
                <w:sz w:val="24"/>
                <w:szCs w:val="24"/>
                <w:lang w:val="en-US" w:eastAsia="zh-CN"/>
              </w:rPr>
            </w:pPr>
          </w:p>
        </w:tc>
        <w:tc>
          <w:tcPr>
            <w:tcW w:w="550"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1370" w:type="dxa"/>
            <w:shd w:val="clear" w:color="auto" w:fill="auto"/>
            <w:vAlign w:val="center"/>
          </w:tcPr>
          <w:p w14:paraId="60F13DDF">
            <w:pPr>
              <w:jc w:val="center"/>
              <w:rPr>
                <w:rFonts w:hint="eastAsia" w:ascii="宋体" w:hAnsi="宋体" w:eastAsia="宋体" w:cs="宋体"/>
                <w:i w:val="0"/>
                <w:iCs w:val="0"/>
                <w:color w:val="auto"/>
                <w:kern w:val="2"/>
                <w:sz w:val="18"/>
                <w:szCs w:val="18"/>
                <w:u w:val="none"/>
                <w:lang w:val="en-US" w:eastAsia="zh-CN" w:bidi="ar-SA"/>
              </w:rPr>
            </w:pPr>
          </w:p>
        </w:tc>
        <w:tc>
          <w:tcPr>
            <w:tcW w:w="5081" w:type="dxa"/>
            <w:shd w:val="clear" w:color="auto" w:fill="auto"/>
            <w:vAlign w:val="center"/>
          </w:tcPr>
          <w:p w14:paraId="7EC31EBF">
            <w:pPr>
              <w:numPr>
                <w:ilvl w:val="0"/>
                <w:numId w:val="0"/>
              </w:numPr>
              <w:jc w:val="center"/>
              <w:rPr>
                <w:rFonts w:hint="eastAsia" w:ascii="等线" w:hAnsi="等线" w:eastAsia="等线" w:cs="等线"/>
                <w:i w:val="0"/>
                <w:iCs w:val="0"/>
                <w:color w:val="auto"/>
                <w:kern w:val="2"/>
                <w:sz w:val="18"/>
                <w:szCs w:val="18"/>
                <w:u w:val="none"/>
                <w:lang w:val="en-US" w:eastAsia="zh-CN" w:bidi="ar-SA"/>
              </w:rPr>
            </w:pPr>
            <w:r>
              <w:rPr>
                <w:rFonts w:hint="eastAsia"/>
                <w:color w:val="auto"/>
                <w:sz w:val="18"/>
                <w:szCs w:val="18"/>
                <w:lang w:eastAsia="zh-CN"/>
              </w:rPr>
              <w:t>壁厚≥</w:t>
            </w:r>
            <w:r>
              <w:rPr>
                <w:rFonts w:hint="eastAsia"/>
                <w:color w:val="auto"/>
                <w:sz w:val="18"/>
                <w:szCs w:val="18"/>
                <w:lang w:val="en-US" w:eastAsia="zh-CN"/>
              </w:rPr>
              <w:t>9</w:t>
            </w:r>
            <w:r>
              <w:rPr>
                <w:rFonts w:hint="eastAsia"/>
                <w:color w:val="auto"/>
                <w:sz w:val="18"/>
                <w:szCs w:val="18"/>
                <w:lang w:eastAsia="zh-CN"/>
              </w:rPr>
              <w:t>mm，无气泡杂质，低辐射衰减</w:t>
            </w:r>
          </w:p>
        </w:tc>
        <w:tc>
          <w:tcPr>
            <w:tcW w:w="363" w:type="dxa"/>
          </w:tcPr>
          <w:p w14:paraId="711CE084">
            <w:pPr>
              <w:spacing w:line="320" w:lineRule="exact"/>
              <w:jc w:val="left"/>
              <w:rPr>
                <w:rFonts w:hint="eastAsia" w:ascii="仿宋" w:hAnsi="仿宋" w:eastAsia="仿宋" w:cs="仿宋"/>
                <w:bCs/>
                <w:sz w:val="24"/>
                <w:szCs w:val="24"/>
              </w:rPr>
            </w:pPr>
          </w:p>
        </w:tc>
        <w:tc>
          <w:tcPr>
            <w:tcW w:w="550"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1370" w:type="dxa"/>
            <w:shd w:val="clear" w:color="auto" w:fill="auto"/>
            <w:vAlign w:val="center"/>
          </w:tcPr>
          <w:p w14:paraId="15B1DA7C">
            <w:pPr>
              <w:jc w:val="center"/>
              <w:rPr>
                <w:rFonts w:hint="eastAsia" w:ascii="宋体" w:hAnsi="宋体" w:eastAsia="宋体" w:cs="宋体"/>
                <w:i w:val="0"/>
                <w:iCs w:val="0"/>
                <w:color w:val="auto"/>
                <w:kern w:val="2"/>
                <w:sz w:val="18"/>
                <w:szCs w:val="18"/>
                <w:u w:val="none"/>
                <w:lang w:val="en-US" w:eastAsia="zh-CN" w:bidi="ar-SA"/>
              </w:rPr>
            </w:pPr>
          </w:p>
        </w:tc>
        <w:tc>
          <w:tcPr>
            <w:tcW w:w="5081" w:type="dxa"/>
            <w:shd w:val="clear" w:color="auto" w:fill="auto"/>
            <w:vAlign w:val="center"/>
          </w:tcPr>
          <w:p w14:paraId="1E143C81">
            <w:pPr>
              <w:numPr>
                <w:ilvl w:val="0"/>
                <w:numId w:val="0"/>
              </w:numPr>
              <w:jc w:val="center"/>
              <w:rPr>
                <w:rFonts w:hint="eastAsia" w:ascii="宋体" w:hAnsi="宋体" w:eastAsia="宋体" w:cs="宋体"/>
                <w:i w:val="0"/>
                <w:iCs w:val="0"/>
                <w:color w:val="auto"/>
                <w:kern w:val="2"/>
                <w:sz w:val="18"/>
                <w:szCs w:val="18"/>
                <w:u w:val="none"/>
                <w:lang w:val="en-US" w:eastAsia="zh-CN" w:bidi="ar-SA"/>
              </w:rPr>
            </w:pPr>
            <w:r>
              <w:rPr>
                <w:rFonts w:hint="eastAsia"/>
                <w:color w:val="auto"/>
                <w:sz w:val="18"/>
                <w:szCs w:val="18"/>
              </w:rPr>
              <w:t>箱体外部尺寸(长×宽×高)：≤450mm×450mm×450mm</w:t>
            </w:r>
          </w:p>
        </w:tc>
        <w:tc>
          <w:tcPr>
            <w:tcW w:w="363" w:type="dxa"/>
          </w:tcPr>
          <w:p w14:paraId="167BB1FD">
            <w:pPr>
              <w:spacing w:line="320" w:lineRule="exact"/>
              <w:jc w:val="left"/>
              <w:rPr>
                <w:rFonts w:hint="eastAsia" w:ascii="仿宋" w:hAnsi="仿宋" w:eastAsia="仿宋" w:cs="仿宋"/>
                <w:bCs/>
                <w:sz w:val="24"/>
                <w:szCs w:val="24"/>
              </w:rPr>
            </w:pPr>
          </w:p>
        </w:tc>
        <w:tc>
          <w:tcPr>
            <w:tcW w:w="550"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1370" w:type="dxa"/>
            <w:shd w:val="clear" w:color="auto" w:fill="auto"/>
            <w:vAlign w:val="center"/>
          </w:tcPr>
          <w:p w14:paraId="493DF6FB">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3636A008">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空箱重量≤</w:t>
            </w:r>
            <w:r>
              <w:rPr>
                <w:rFonts w:hint="eastAsia"/>
                <w:sz w:val="18"/>
                <w:szCs w:val="18"/>
                <w:lang w:val="en-US" w:eastAsia="zh-CN"/>
              </w:rPr>
              <w:t>20</w:t>
            </w:r>
            <w:r>
              <w:rPr>
                <w:rFonts w:hint="eastAsia"/>
                <w:sz w:val="18"/>
                <w:szCs w:val="18"/>
              </w:rPr>
              <w:t>kg</w:t>
            </w:r>
          </w:p>
        </w:tc>
        <w:tc>
          <w:tcPr>
            <w:tcW w:w="363" w:type="dxa"/>
          </w:tcPr>
          <w:p w14:paraId="28164C7B">
            <w:pPr>
              <w:spacing w:line="320" w:lineRule="exact"/>
              <w:jc w:val="left"/>
              <w:rPr>
                <w:rFonts w:hint="eastAsia" w:ascii="仿宋" w:hAnsi="仿宋" w:eastAsia="仿宋" w:cs="仿宋"/>
                <w:bCs/>
                <w:sz w:val="24"/>
                <w:szCs w:val="24"/>
              </w:rPr>
            </w:pPr>
          </w:p>
        </w:tc>
        <w:tc>
          <w:tcPr>
            <w:tcW w:w="550"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1370" w:type="dxa"/>
            <w:shd w:val="clear" w:color="auto" w:fill="auto"/>
            <w:vAlign w:val="center"/>
          </w:tcPr>
          <w:p w14:paraId="0E74082A">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13D153A3">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垂直扫描范围≥250mm</w:t>
            </w:r>
          </w:p>
        </w:tc>
        <w:tc>
          <w:tcPr>
            <w:tcW w:w="363" w:type="dxa"/>
          </w:tcPr>
          <w:p w14:paraId="0A23FB5A">
            <w:pPr>
              <w:spacing w:line="320" w:lineRule="exact"/>
              <w:jc w:val="left"/>
              <w:rPr>
                <w:rFonts w:hint="eastAsia" w:ascii="仿宋" w:hAnsi="仿宋" w:eastAsia="仿宋" w:cs="仿宋"/>
                <w:bCs/>
                <w:sz w:val="24"/>
                <w:szCs w:val="24"/>
              </w:rPr>
            </w:pPr>
          </w:p>
        </w:tc>
        <w:tc>
          <w:tcPr>
            <w:tcW w:w="550"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370" w:type="dxa"/>
            <w:shd w:val="clear" w:color="auto" w:fill="auto"/>
            <w:vAlign w:val="center"/>
          </w:tcPr>
          <w:p w14:paraId="263B305F">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757FA257">
            <w:pPr>
              <w:numPr>
                <w:ilvl w:val="0"/>
                <w:numId w:val="0"/>
              </w:numPr>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运动方向</w:t>
            </w:r>
            <w:r>
              <w:rPr>
                <w:rFonts w:hint="eastAsia"/>
                <w:sz w:val="18"/>
                <w:szCs w:val="18"/>
                <w:lang w:eastAsia="zh-CN"/>
              </w:rPr>
              <w:t>：</w:t>
            </w:r>
            <w:r>
              <w:rPr>
                <w:rFonts w:hint="eastAsia" w:ascii="宋体" w:hAnsi="宋体" w:eastAsia="宋体" w:cs="宋体"/>
                <w:color w:val="auto"/>
                <w:sz w:val="18"/>
                <w:szCs w:val="18"/>
                <w:lang w:val="en-US" w:eastAsia="zh-CN"/>
              </w:rPr>
              <w:t>垂直</w:t>
            </w:r>
            <w:r>
              <w:rPr>
                <w:rFonts w:hint="eastAsia" w:ascii="宋体" w:hAnsi="宋体" w:eastAsia="宋体" w:cs="宋体"/>
                <w:color w:val="auto"/>
                <w:sz w:val="18"/>
                <w:szCs w:val="18"/>
              </w:rPr>
              <w:t>上下运动</w:t>
            </w:r>
          </w:p>
        </w:tc>
        <w:tc>
          <w:tcPr>
            <w:tcW w:w="363" w:type="dxa"/>
          </w:tcPr>
          <w:p w14:paraId="00A58C03">
            <w:pPr>
              <w:spacing w:line="320" w:lineRule="exact"/>
              <w:jc w:val="left"/>
              <w:rPr>
                <w:rFonts w:hint="eastAsia" w:ascii="仿宋" w:hAnsi="仿宋" w:eastAsia="仿宋" w:cs="仿宋"/>
                <w:bCs/>
                <w:sz w:val="24"/>
                <w:szCs w:val="24"/>
              </w:rPr>
            </w:pPr>
          </w:p>
        </w:tc>
        <w:tc>
          <w:tcPr>
            <w:tcW w:w="550"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1370" w:type="dxa"/>
            <w:shd w:val="clear" w:color="auto" w:fill="auto"/>
            <w:vAlign w:val="center"/>
          </w:tcPr>
          <w:p w14:paraId="16CBDD69">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3A3ADFC">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最小步进距离≤0.</w:t>
            </w:r>
            <w:r>
              <w:rPr>
                <w:rFonts w:hint="eastAsia"/>
                <w:sz w:val="18"/>
                <w:szCs w:val="18"/>
                <w:lang w:val="en-US" w:eastAsia="zh-CN"/>
              </w:rPr>
              <w:t>2</w:t>
            </w:r>
            <w:r>
              <w:rPr>
                <w:rFonts w:hint="eastAsia"/>
                <w:sz w:val="18"/>
                <w:szCs w:val="18"/>
              </w:rPr>
              <w:t>mm</w:t>
            </w:r>
          </w:p>
        </w:tc>
        <w:tc>
          <w:tcPr>
            <w:tcW w:w="363" w:type="dxa"/>
          </w:tcPr>
          <w:p w14:paraId="1D016E50">
            <w:pPr>
              <w:spacing w:line="320" w:lineRule="exact"/>
              <w:jc w:val="left"/>
              <w:rPr>
                <w:rFonts w:hint="eastAsia" w:ascii="仿宋" w:hAnsi="仿宋" w:eastAsia="仿宋" w:cs="仿宋"/>
                <w:bCs/>
                <w:sz w:val="24"/>
                <w:szCs w:val="24"/>
              </w:rPr>
            </w:pPr>
          </w:p>
        </w:tc>
        <w:tc>
          <w:tcPr>
            <w:tcW w:w="550"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 w:hRule="atLeast"/>
        </w:trPr>
        <w:tc>
          <w:tcPr>
            <w:tcW w:w="757"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1370" w:type="dxa"/>
            <w:shd w:val="clear" w:color="auto" w:fill="auto"/>
            <w:vAlign w:val="center"/>
          </w:tcPr>
          <w:p w14:paraId="6E3B1742">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3C851DAC">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lang w:val="en-US" w:eastAsia="zh-CN"/>
              </w:rPr>
              <w:t>定位精度</w:t>
            </w:r>
            <w:r>
              <w:rPr>
                <w:rFonts w:hint="eastAsia"/>
                <w:sz w:val="18"/>
                <w:szCs w:val="18"/>
                <w:lang w:eastAsia="zh-CN"/>
              </w:rPr>
              <w:t>：</w:t>
            </w:r>
            <w:r>
              <w:rPr>
                <w:rFonts w:hint="eastAsia"/>
                <w:sz w:val="18"/>
                <w:szCs w:val="18"/>
              </w:rPr>
              <w:t>≤0.1mm</w:t>
            </w:r>
          </w:p>
        </w:tc>
        <w:tc>
          <w:tcPr>
            <w:tcW w:w="363" w:type="dxa"/>
          </w:tcPr>
          <w:p w14:paraId="04A007E7">
            <w:pPr>
              <w:spacing w:line="320" w:lineRule="exact"/>
              <w:jc w:val="left"/>
              <w:rPr>
                <w:rFonts w:hint="eastAsia" w:ascii="仿宋" w:hAnsi="仿宋" w:eastAsia="仿宋" w:cs="仿宋"/>
                <w:bCs/>
                <w:sz w:val="24"/>
                <w:szCs w:val="24"/>
              </w:rPr>
            </w:pPr>
          </w:p>
        </w:tc>
        <w:tc>
          <w:tcPr>
            <w:tcW w:w="550"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1370" w:type="dxa"/>
            <w:shd w:val="clear" w:color="auto" w:fill="auto"/>
            <w:vAlign w:val="center"/>
          </w:tcPr>
          <w:p w14:paraId="68123945">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199710C0">
            <w:pPr>
              <w:numPr>
                <w:ilvl w:val="0"/>
                <w:numId w:val="0"/>
              </w:numPr>
              <w:spacing w:line="240" w:lineRule="auto"/>
              <w:jc w:val="center"/>
              <w:rPr>
                <w:rFonts w:hint="default" w:ascii="宋体" w:hAnsi="宋体" w:eastAsia="宋体" w:cs="宋体"/>
                <w:i w:val="0"/>
                <w:iCs w:val="0"/>
                <w:color w:val="auto"/>
                <w:kern w:val="2"/>
                <w:sz w:val="18"/>
                <w:szCs w:val="18"/>
                <w:u w:val="none"/>
                <w:lang w:val="en-US" w:eastAsia="zh-CN" w:bidi="ar-SA"/>
              </w:rPr>
            </w:pPr>
            <w:r>
              <w:rPr>
                <w:rFonts w:hint="eastAsia"/>
                <w:sz w:val="18"/>
                <w:szCs w:val="18"/>
              </w:rPr>
              <w:t>支持数据类型</w:t>
            </w:r>
            <w:r>
              <w:rPr>
                <w:rFonts w:hint="eastAsia"/>
                <w:sz w:val="18"/>
                <w:szCs w:val="18"/>
                <w:lang w:val="en-US" w:eastAsia="zh-CN"/>
              </w:rPr>
              <w:t>：</w:t>
            </w:r>
            <w:r>
              <w:rPr>
                <w:rFonts w:hint="eastAsia"/>
                <w:sz w:val="18"/>
                <w:szCs w:val="18"/>
              </w:rPr>
              <w:t>点剂量</w:t>
            </w:r>
          </w:p>
        </w:tc>
        <w:tc>
          <w:tcPr>
            <w:tcW w:w="363" w:type="dxa"/>
          </w:tcPr>
          <w:p w14:paraId="7F161ED3">
            <w:pPr>
              <w:spacing w:line="320" w:lineRule="exact"/>
              <w:jc w:val="left"/>
              <w:rPr>
                <w:rFonts w:hint="eastAsia" w:ascii="仿宋" w:hAnsi="仿宋" w:eastAsia="仿宋" w:cs="仿宋"/>
                <w:bCs/>
                <w:sz w:val="24"/>
                <w:szCs w:val="24"/>
              </w:rPr>
            </w:pPr>
          </w:p>
        </w:tc>
        <w:tc>
          <w:tcPr>
            <w:tcW w:w="550"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1370" w:type="dxa"/>
            <w:shd w:val="clear" w:color="auto" w:fill="auto"/>
            <w:vAlign w:val="center"/>
          </w:tcPr>
          <w:p w14:paraId="26141207">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2ED8BF39">
            <w:pPr>
              <w:widowControl w:val="0"/>
              <w:numPr>
                <w:ilvl w:val="0"/>
                <w:numId w:val="0"/>
              </w:numPr>
              <w:spacing w:line="240" w:lineRule="auto"/>
              <w:ind w:leftChars="0"/>
              <w:jc w:val="center"/>
              <w:rPr>
                <w:rFonts w:hint="default" w:ascii="宋体" w:hAnsi="宋体" w:eastAsia="宋体" w:cs="宋体"/>
                <w:i w:val="0"/>
                <w:iCs w:val="0"/>
                <w:color w:val="auto"/>
                <w:kern w:val="2"/>
                <w:sz w:val="18"/>
                <w:szCs w:val="18"/>
                <w:u w:val="none"/>
                <w:lang w:val="en-US" w:eastAsia="zh-CN" w:bidi="ar-SA"/>
              </w:rPr>
            </w:pPr>
            <w:r>
              <w:rPr>
                <w:rFonts w:hint="eastAsia"/>
                <w:sz w:val="18"/>
                <w:szCs w:val="18"/>
              </w:rPr>
              <w:t>控制方式</w:t>
            </w:r>
            <w:r>
              <w:rPr>
                <w:rFonts w:hint="eastAsia"/>
                <w:sz w:val="18"/>
                <w:szCs w:val="18"/>
                <w:lang w:eastAsia="zh-CN"/>
              </w:rPr>
              <w:t>：</w:t>
            </w:r>
            <w:r>
              <w:rPr>
                <w:rFonts w:hint="eastAsia"/>
                <w:sz w:val="18"/>
                <w:szCs w:val="18"/>
              </w:rPr>
              <w:t>配备控制盒，可实时调节位置，操作直观、便捷，运动速度和步长可调</w:t>
            </w:r>
          </w:p>
        </w:tc>
        <w:tc>
          <w:tcPr>
            <w:tcW w:w="363" w:type="dxa"/>
          </w:tcPr>
          <w:p w14:paraId="309EC2AC">
            <w:pPr>
              <w:spacing w:line="320" w:lineRule="exact"/>
              <w:jc w:val="left"/>
              <w:rPr>
                <w:rFonts w:hint="eastAsia" w:ascii="仿宋" w:hAnsi="仿宋" w:eastAsia="仿宋" w:cs="仿宋"/>
                <w:bCs/>
                <w:sz w:val="24"/>
                <w:szCs w:val="24"/>
              </w:rPr>
            </w:pPr>
          </w:p>
        </w:tc>
        <w:tc>
          <w:tcPr>
            <w:tcW w:w="550"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3" w:hRule="atLeast"/>
        </w:trPr>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1370" w:type="dxa"/>
            <w:shd w:val="clear" w:color="auto" w:fill="auto"/>
            <w:vAlign w:val="center"/>
          </w:tcPr>
          <w:p w14:paraId="2B7AF656">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571A722">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调平</w:t>
            </w:r>
            <w:r>
              <w:rPr>
                <w:rFonts w:hint="eastAsia"/>
                <w:sz w:val="18"/>
                <w:szCs w:val="18"/>
                <w:lang w:eastAsia="zh-CN"/>
              </w:rPr>
              <w:t>：</w:t>
            </w:r>
            <w:r>
              <w:rPr>
                <w:rFonts w:hint="eastAsia" w:ascii="宋体" w:hAnsi="宋体" w:eastAsia="宋体" w:cs="宋体"/>
                <w:sz w:val="21"/>
                <w:szCs w:val="21"/>
              </w:rPr>
              <w:t>具</w:t>
            </w:r>
            <w:r>
              <w:rPr>
                <w:rFonts w:hint="eastAsia"/>
                <w:sz w:val="18"/>
                <w:szCs w:val="18"/>
              </w:rPr>
              <w:t>备底座调平旋钮</w:t>
            </w:r>
          </w:p>
        </w:tc>
        <w:tc>
          <w:tcPr>
            <w:tcW w:w="363" w:type="dxa"/>
          </w:tcPr>
          <w:p w14:paraId="1FEA9546">
            <w:pPr>
              <w:spacing w:line="320" w:lineRule="exact"/>
              <w:jc w:val="left"/>
              <w:rPr>
                <w:rFonts w:hint="eastAsia" w:ascii="仿宋" w:hAnsi="仿宋" w:eastAsia="仿宋" w:cs="仿宋"/>
                <w:color w:val="000000"/>
                <w:kern w:val="0"/>
                <w:sz w:val="24"/>
                <w:szCs w:val="24"/>
              </w:rPr>
            </w:pPr>
          </w:p>
        </w:tc>
        <w:tc>
          <w:tcPr>
            <w:tcW w:w="550"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1370" w:type="dxa"/>
            <w:shd w:val="clear" w:color="auto" w:fill="auto"/>
            <w:vAlign w:val="center"/>
          </w:tcPr>
          <w:p w14:paraId="0630F74A">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6C468ADF">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lang w:val="en-US" w:eastAsia="zh-CN"/>
              </w:rPr>
              <w:t>电离室：配备与医院现有剂量仪适配的指型电离室1个，接口为TNC（螺纹型），电离室灵敏体积≥0.6cc，电离室测量重复性≤0.5%，满足临床要求。水箱及配套电离室安装调试后，厂家需要提供该电离室当年近期的校准证书（送检至中国计量科学研究院），其检定的各项指标均合格及有准予作为治疗水平工作级剂量计使用的相关结论</w:t>
            </w:r>
          </w:p>
        </w:tc>
        <w:tc>
          <w:tcPr>
            <w:tcW w:w="363" w:type="dxa"/>
          </w:tcPr>
          <w:p w14:paraId="0AAF6406">
            <w:pPr>
              <w:spacing w:line="320" w:lineRule="exact"/>
              <w:jc w:val="left"/>
              <w:rPr>
                <w:rFonts w:hint="eastAsia" w:ascii="仿宋" w:hAnsi="仿宋" w:eastAsia="仿宋" w:cs="仿宋"/>
                <w:color w:val="000000"/>
                <w:kern w:val="0"/>
                <w:sz w:val="24"/>
                <w:szCs w:val="24"/>
              </w:rPr>
            </w:pPr>
          </w:p>
        </w:tc>
        <w:tc>
          <w:tcPr>
            <w:tcW w:w="550"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bookmarkStart w:id="0" w:name="_GoBack"/>
            <w:bookmarkEnd w:id="0"/>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1370" w:type="dxa"/>
            <w:shd w:val="clear" w:color="auto" w:fill="auto"/>
            <w:vAlign w:val="center"/>
          </w:tcPr>
          <w:p w14:paraId="1FCABB0B">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42FC313A">
            <w:pPr>
              <w:widowControl w:val="0"/>
              <w:numPr>
                <w:ilvl w:val="0"/>
                <w:numId w:val="0"/>
              </w:numPr>
              <w:spacing w:line="240" w:lineRule="auto"/>
              <w:ind w:leftChars="0"/>
              <w:jc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color w:val="auto"/>
                <w:sz w:val="18"/>
                <w:szCs w:val="18"/>
                <w:lang w:val="en-US" w:eastAsia="zh-CN"/>
              </w:rPr>
              <w:t>电离室延长线1根，适配医院现有电离室及剂量仪</w:t>
            </w:r>
            <w:r>
              <w:rPr>
                <w:rFonts w:hint="eastAsia" w:ascii="宋体" w:hAnsi="宋体" w:eastAsia="宋体" w:cs="宋体"/>
                <w:color w:val="auto"/>
                <w:sz w:val="18"/>
                <w:szCs w:val="18"/>
              </w:rPr>
              <w:t>，长度≥</w:t>
            </w:r>
            <w:r>
              <w:rPr>
                <w:rFonts w:hint="eastAsia" w:ascii="宋体" w:hAnsi="宋体" w:eastAsia="宋体" w:cs="宋体"/>
                <w:color w:val="auto"/>
                <w:sz w:val="18"/>
                <w:szCs w:val="18"/>
                <w:lang w:val="en-US" w:eastAsia="zh-CN"/>
              </w:rPr>
              <w:t>20</w:t>
            </w:r>
            <w:r>
              <w:rPr>
                <w:rFonts w:hint="eastAsia" w:ascii="宋体" w:hAnsi="宋体" w:eastAsia="宋体" w:cs="宋体"/>
                <w:color w:val="auto"/>
                <w:sz w:val="18"/>
                <w:szCs w:val="18"/>
              </w:rPr>
              <w:t>m</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具备延长线收纳盘</w:t>
            </w:r>
          </w:p>
        </w:tc>
        <w:tc>
          <w:tcPr>
            <w:tcW w:w="363" w:type="dxa"/>
          </w:tcPr>
          <w:p w14:paraId="60764D4A">
            <w:pPr>
              <w:spacing w:line="320" w:lineRule="exact"/>
              <w:jc w:val="left"/>
              <w:rPr>
                <w:rFonts w:hint="eastAsia" w:ascii="仿宋" w:hAnsi="仿宋" w:eastAsia="仿宋" w:cs="仿宋"/>
                <w:color w:val="000000"/>
                <w:kern w:val="0"/>
                <w:sz w:val="24"/>
                <w:szCs w:val="24"/>
              </w:rPr>
            </w:pPr>
          </w:p>
        </w:tc>
        <w:tc>
          <w:tcPr>
            <w:tcW w:w="550"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370" w:type="dxa"/>
            <w:shd w:val="clear" w:color="auto" w:fill="auto"/>
            <w:vAlign w:val="center"/>
          </w:tcPr>
          <w:p w14:paraId="2F9FB2C7">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2F53A562">
            <w:pPr>
              <w:numPr>
                <w:ilvl w:val="0"/>
                <w:numId w:val="0"/>
              </w:numPr>
              <w:spacing w:line="240" w:lineRule="auto"/>
              <w:jc w:val="center"/>
              <w:rPr>
                <w:rFonts w:hint="eastAsia" w:ascii="宋体" w:hAnsi="宋体" w:eastAsia="宋体" w:cs="宋体"/>
                <w:i w:val="0"/>
                <w:iCs w:val="0"/>
                <w:color w:val="auto"/>
                <w:kern w:val="2"/>
                <w:sz w:val="18"/>
                <w:szCs w:val="18"/>
                <w:u w:val="none"/>
                <w:lang w:val="en-US" w:eastAsia="zh-CN" w:bidi="ar-SA"/>
              </w:rPr>
            </w:pPr>
            <w:r>
              <w:rPr>
                <w:rFonts w:hint="eastAsia"/>
                <w:sz w:val="18"/>
                <w:szCs w:val="18"/>
              </w:rPr>
              <w:t>整机质保≥5年，核心驱动部件质保≥10年</w:t>
            </w:r>
          </w:p>
        </w:tc>
        <w:tc>
          <w:tcPr>
            <w:tcW w:w="363" w:type="dxa"/>
          </w:tcPr>
          <w:p w14:paraId="1815DE41">
            <w:pPr>
              <w:spacing w:line="320" w:lineRule="exact"/>
              <w:jc w:val="left"/>
              <w:rPr>
                <w:rFonts w:hint="eastAsia" w:ascii="仿宋" w:hAnsi="仿宋" w:eastAsia="仿宋" w:cs="仿宋"/>
                <w:color w:val="000000"/>
                <w:kern w:val="0"/>
                <w:sz w:val="24"/>
                <w:szCs w:val="24"/>
              </w:rPr>
            </w:pPr>
          </w:p>
        </w:tc>
        <w:tc>
          <w:tcPr>
            <w:tcW w:w="550" w:type="dxa"/>
          </w:tcPr>
          <w:p w14:paraId="2F8E3EF9">
            <w:pPr>
              <w:spacing w:line="320" w:lineRule="exact"/>
              <w:jc w:val="left"/>
              <w:rPr>
                <w:rFonts w:hint="eastAsia" w:ascii="仿宋" w:hAnsi="仿宋" w:eastAsia="仿宋" w:cs="仿宋"/>
                <w:bCs/>
                <w:sz w:val="24"/>
                <w:szCs w:val="24"/>
              </w:rPr>
            </w:pPr>
          </w:p>
        </w:tc>
        <w:tc>
          <w:tcPr>
            <w:tcW w:w="50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025915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460D99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370" w:type="dxa"/>
            <w:shd w:val="clear" w:color="auto" w:fill="auto"/>
            <w:vAlign w:val="center"/>
          </w:tcPr>
          <w:p w14:paraId="39FED130">
            <w:pPr>
              <w:jc w:val="center"/>
              <w:rPr>
                <w:rFonts w:hint="eastAsia" w:ascii="宋体" w:hAnsi="宋体" w:eastAsia="宋体" w:cs="宋体"/>
                <w:i w:val="0"/>
                <w:iCs w:val="0"/>
                <w:color w:val="000000"/>
                <w:kern w:val="2"/>
                <w:sz w:val="18"/>
                <w:szCs w:val="18"/>
                <w:u w:val="none"/>
                <w:lang w:val="en-US" w:eastAsia="zh-CN" w:bidi="ar-SA"/>
              </w:rPr>
            </w:pPr>
          </w:p>
        </w:tc>
        <w:tc>
          <w:tcPr>
            <w:tcW w:w="5081" w:type="dxa"/>
            <w:shd w:val="clear" w:color="auto" w:fill="auto"/>
            <w:vAlign w:val="center"/>
          </w:tcPr>
          <w:p w14:paraId="18DC13A4">
            <w:pPr>
              <w:numPr>
                <w:ilvl w:val="0"/>
                <w:numId w:val="0"/>
              </w:numPr>
              <w:spacing w:line="240" w:lineRule="auto"/>
              <w:jc w:val="center"/>
              <w:rPr>
                <w:rFonts w:hint="eastAsia"/>
                <w:sz w:val="18"/>
                <w:szCs w:val="18"/>
              </w:rPr>
            </w:pPr>
            <w:r>
              <w:rPr>
                <w:rFonts w:hint="eastAsia"/>
                <w:sz w:val="18"/>
                <w:szCs w:val="18"/>
              </w:rPr>
              <w:t>提供一台与水箱适配的转运车（防颠簸），便于院内安全转运</w:t>
            </w:r>
          </w:p>
        </w:tc>
        <w:tc>
          <w:tcPr>
            <w:tcW w:w="363" w:type="dxa"/>
          </w:tcPr>
          <w:p w14:paraId="26B1FD0F">
            <w:pPr>
              <w:spacing w:line="320" w:lineRule="exact"/>
              <w:jc w:val="left"/>
              <w:rPr>
                <w:rFonts w:hint="eastAsia" w:ascii="仿宋" w:hAnsi="仿宋" w:eastAsia="仿宋" w:cs="仿宋"/>
                <w:color w:val="000000"/>
                <w:kern w:val="0"/>
                <w:sz w:val="24"/>
                <w:szCs w:val="24"/>
              </w:rPr>
            </w:pPr>
          </w:p>
        </w:tc>
        <w:tc>
          <w:tcPr>
            <w:tcW w:w="550" w:type="dxa"/>
          </w:tcPr>
          <w:p w14:paraId="589DF89E">
            <w:pPr>
              <w:spacing w:line="320" w:lineRule="exact"/>
              <w:jc w:val="left"/>
              <w:rPr>
                <w:rFonts w:hint="eastAsia" w:ascii="仿宋" w:hAnsi="仿宋" w:eastAsia="仿宋" w:cs="仿宋"/>
                <w:bCs/>
                <w:sz w:val="24"/>
                <w:szCs w:val="24"/>
              </w:rPr>
            </w:pPr>
          </w:p>
        </w:tc>
        <w:tc>
          <w:tcPr>
            <w:tcW w:w="506" w:type="dxa"/>
          </w:tcPr>
          <w:p w14:paraId="263DC5DA">
            <w:pPr>
              <w:spacing w:line="320" w:lineRule="exact"/>
              <w:jc w:val="left"/>
              <w:rPr>
                <w:rFonts w:hint="eastAsia" w:ascii="仿宋" w:hAnsi="仿宋" w:eastAsia="仿宋" w:cs="仿宋"/>
                <w:bCs/>
                <w:sz w:val="24"/>
                <w:szCs w:val="24"/>
              </w:rPr>
            </w:pPr>
          </w:p>
        </w:tc>
        <w:tc>
          <w:tcPr>
            <w:tcW w:w="1018" w:type="dxa"/>
          </w:tcPr>
          <w:p w14:paraId="0B0AAABC">
            <w:pPr>
              <w:spacing w:line="320" w:lineRule="exact"/>
              <w:jc w:val="left"/>
              <w:rPr>
                <w:rFonts w:hint="eastAsia" w:ascii="仿宋" w:hAnsi="仿宋" w:eastAsia="仿宋" w:cs="仿宋"/>
                <w:bCs/>
                <w:sz w:val="24"/>
                <w:szCs w:val="24"/>
              </w:rPr>
            </w:pPr>
          </w:p>
        </w:tc>
      </w:tr>
    </w:tbl>
    <w:p w14:paraId="1B34B485">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450F80"/>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C46C03"/>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027E00"/>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8E06F9"/>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647AE3"/>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EDB0430"/>
    <w:rsid w:val="4F413B09"/>
    <w:rsid w:val="4F792DCA"/>
    <w:rsid w:val="4F8F10A2"/>
    <w:rsid w:val="4F9D25EA"/>
    <w:rsid w:val="4FAA2E71"/>
    <w:rsid w:val="4FE70DC0"/>
    <w:rsid w:val="4FEE65F2"/>
    <w:rsid w:val="503B0D85"/>
    <w:rsid w:val="50D22270"/>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9A6CDC"/>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D46253"/>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814</Words>
  <Characters>841</Characters>
  <Lines>43</Lines>
  <Paragraphs>12</Paragraphs>
  <TotalTime>0</TotalTime>
  <ScaleCrop>false</ScaleCrop>
  <LinksUpToDate>false</LinksUpToDate>
  <CharactersWithSpaces>1415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2026-08-14T07:50:43Z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