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BCEB7">
      <w:pPr>
        <w:spacing w:line="320" w:lineRule="exact"/>
        <w:jc w:val="center"/>
        <w:rPr>
          <w:rFonts w:ascii="仿宋" w:hAnsi="仿宋" w:eastAsia="仿宋"/>
          <w:sz w:val="32"/>
          <w:szCs w:val="32"/>
        </w:rPr>
      </w:pPr>
      <w:r>
        <w:rPr>
          <w:rFonts w:hint="eastAsia" w:asciiTheme="majorEastAsia" w:hAnsiTheme="majorEastAsia" w:eastAsiaTheme="majorEastAsia"/>
          <w:b/>
          <w:sz w:val="32"/>
          <w:szCs w:val="32"/>
        </w:rPr>
        <w:t>附件：拟购六安市中医院</w:t>
      </w:r>
      <w:r>
        <w:rPr>
          <w:rFonts w:hint="eastAsia" w:asciiTheme="majorEastAsia" w:hAnsiTheme="majorEastAsia" w:eastAsiaTheme="majorEastAsia"/>
          <w:b/>
          <w:sz w:val="32"/>
          <w:szCs w:val="32"/>
          <w:lang w:val="en-US" w:eastAsia="zh-CN"/>
        </w:rPr>
        <w:t>移动护理推车</w:t>
      </w:r>
      <w:r>
        <w:rPr>
          <w:rFonts w:hint="eastAsia" w:asciiTheme="majorEastAsia" w:hAnsiTheme="majorEastAsia" w:eastAsiaTheme="majorEastAsia"/>
          <w:b/>
          <w:sz w:val="32"/>
          <w:szCs w:val="32"/>
        </w:rPr>
        <w:t>项目初步参数论证征集意见表</w:t>
      </w:r>
    </w:p>
    <w:p w14:paraId="7ADE7657">
      <w:pPr>
        <w:spacing w:line="320" w:lineRule="exact"/>
        <w:rPr>
          <w:rFonts w:ascii="仿宋" w:hAnsi="仿宋" w:eastAsia="仿宋"/>
          <w:sz w:val="24"/>
          <w:szCs w:val="24"/>
        </w:rPr>
      </w:pPr>
    </w:p>
    <w:p w14:paraId="0E9FF024">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10AB28BB">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产品品牌、规格型号、产地、医疗器械注册证号及最低报价：</w:t>
      </w:r>
      <w:r>
        <w:rPr>
          <w:rFonts w:hint="eastAsia" w:ascii="仿宋" w:hAnsi="仿宋" w:eastAsia="仿宋"/>
          <w:szCs w:val="21"/>
          <w:u w:val="single"/>
        </w:rPr>
        <w:t xml:space="preserve">                                 </w:t>
      </w:r>
    </w:p>
    <w:p w14:paraId="6821FC4C">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仿宋" w:hAnsi="仿宋" w:eastAsia="仿宋"/>
          <w:b/>
          <w:szCs w:val="21"/>
        </w:rPr>
      </w:pPr>
      <w:r>
        <w:rPr>
          <w:rFonts w:hint="eastAsia" w:ascii="仿宋" w:hAnsi="仿宋" w:eastAsia="仿宋"/>
          <w:b/>
          <w:szCs w:val="21"/>
        </w:rPr>
        <w:t>备注：</w:t>
      </w:r>
    </w:p>
    <w:p w14:paraId="20482C6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招标办</w:t>
      </w:r>
      <w:r>
        <w:rPr>
          <w:rFonts w:hint="eastAsia" w:ascii="仿宋" w:hAnsi="仿宋" w:eastAsia="仿宋"/>
          <w:szCs w:val="21"/>
        </w:rPr>
        <w:t>：2523245199@qq.com</w:t>
      </w:r>
      <w:r>
        <w:rPr>
          <w:rFonts w:hint="eastAsia" w:ascii="仿宋" w:hAnsi="仿宋" w:eastAsia="仿宋"/>
          <w:szCs w:val="21"/>
          <w:u w:val="single"/>
        </w:rPr>
        <w:t>和归口科室</w:t>
      </w:r>
      <w:r>
        <w:rPr>
          <w:rFonts w:hint="eastAsia" w:ascii="仿宋" w:hAnsi="仿宋" w:eastAsia="仿宋"/>
          <w:szCs w:val="21"/>
        </w:rPr>
        <w:t>【设备</w:t>
      </w:r>
      <w:r>
        <w:rPr>
          <w:rFonts w:hint="eastAsia" w:ascii="仿宋" w:hAnsi="仿宋" w:eastAsia="仿宋"/>
          <w:szCs w:val="21"/>
          <w:lang w:val="en-US" w:eastAsia="zh-CN"/>
        </w:rPr>
        <w:t>工程部</w:t>
      </w:r>
      <w:r>
        <w:rPr>
          <w:rFonts w:hint="eastAsia" w:ascii="仿宋" w:hAnsi="仿宋" w:eastAsia="仿宋"/>
          <w:szCs w:val="21"/>
        </w:rPr>
        <w:t>□、</w:t>
      </w:r>
      <w:r>
        <w:rPr>
          <w:rFonts w:hint="eastAsia" w:ascii="仿宋" w:hAnsi="仿宋" w:eastAsia="仿宋"/>
          <w:szCs w:val="21"/>
          <w:lang w:val="en-US" w:eastAsia="zh-CN"/>
        </w:rPr>
        <w:t>信息管理部</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szCs w:val="21"/>
          <w:lang w:val="en-US" w:eastAsia="zh-CN"/>
        </w:rPr>
        <w:t>后勤保障部</w:t>
      </w:r>
      <w:r>
        <w:rPr>
          <w:rFonts w:hint="eastAsia" w:ascii="仿宋" w:hAnsi="仿宋" w:eastAsia="仿宋"/>
          <w:szCs w:val="21"/>
        </w:rPr>
        <w:t>□及其他□</w:t>
      </w:r>
      <w:r>
        <w:rPr>
          <w:rFonts w:hint="eastAsia" w:ascii="仿宋" w:hAnsi="仿宋" w:eastAsia="仿宋"/>
          <w:szCs w:val="21"/>
          <w:u w:val="single"/>
        </w:rPr>
        <w:t xml:space="preserve">          </w:t>
      </w:r>
      <w:r>
        <w:rPr>
          <w:rFonts w:hint="eastAsia" w:ascii="仿宋" w:hAnsi="仿宋" w:eastAsia="仿宋"/>
          <w:szCs w:val="21"/>
        </w:rPr>
        <w:t>】：LASZYYXXK@163.com</w:t>
      </w:r>
      <w:r>
        <w:rPr>
          <w:rFonts w:hint="eastAsia" w:ascii="仿宋" w:hAnsi="仿宋" w:eastAsia="仿宋"/>
          <w:szCs w:val="21"/>
          <w:u w:val="single"/>
        </w:rPr>
        <w:t xml:space="preserve"> </w:t>
      </w:r>
      <w:r>
        <w:rPr>
          <w:rFonts w:hint="eastAsia" w:ascii="仿宋" w:hAnsi="仿宋" w:eastAsia="仿宋"/>
          <w:szCs w:val="21"/>
        </w:rPr>
        <w:t>）；</w:t>
      </w:r>
    </w:p>
    <w:p w14:paraId="2B8BFD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u w:val="single"/>
        </w:rPr>
      </w:pPr>
      <w:r>
        <w:rPr>
          <w:rFonts w:hint="eastAsia" w:ascii="仿宋" w:hAnsi="仿宋" w:eastAsia="仿宋"/>
          <w:szCs w:val="21"/>
          <w:lang w:val="en-US" w:eastAsia="zh-CN"/>
        </w:rPr>
        <w:t>2、</w:t>
      </w:r>
      <w:r>
        <w:rPr>
          <w:rFonts w:hint="eastAsia" w:ascii="仿宋" w:hAnsi="仿宋" w:eastAsia="仿宋"/>
          <w:szCs w:val="21"/>
        </w:rPr>
        <w:t>响应情况（是/否）若为否则</w:t>
      </w:r>
      <w:r>
        <w:rPr>
          <w:rFonts w:hint="eastAsia" w:ascii="仿宋" w:hAnsi="仿宋" w:eastAsia="仿宋"/>
          <w:szCs w:val="21"/>
          <w:lang w:eastAsia="zh-CN"/>
        </w:rPr>
        <w:t>须标注</w:t>
      </w:r>
      <w:r>
        <w:rPr>
          <w:rFonts w:hint="eastAsia" w:ascii="仿宋" w:hAnsi="仿宋" w:eastAsia="仿宋"/>
          <w:szCs w:val="21"/>
        </w:rPr>
        <w:t>具体建议修改</w:t>
      </w:r>
      <w:r>
        <w:rPr>
          <w:rFonts w:hint="eastAsia" w:ascii="仿宋" w:hAnsi="仿宋" w:eastAsia="仿宋"/>
          <w:szCs w:val="21"/>
          <w:lang w:eastAsia="zh-CN"/>
        </w:rPr>
        <w:t>指标（</w:t>
      </w:r>
      <w:r>
        <w:rPr>
          <w:rFonts w:hint="eastAsia" w:ascii="仿宋" w:hAnsi="仿宋" w:eastAsia="仿宋"/>
          <w:b/>
          <w:bCs/>
          <w:szCs w:val="21"/>
          <w:lang w:eastAsia="zh-CN"/>
        </w:rPr>
        <w:t>未标注则默认为响应初步参数</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b/>
          <w:bCs/>
          <w:szCs w:val="21"/>
        </w:rPr>
        <w:t>建议修改</w:t>
      </w:r>
      <w:r>
        <w:rPr>
          <w:rFonts w:hint="eastAsia" w:ascii="仿宋" w:hAnsi="仿宋" w:eastAsia="仿宋"/>
          <w:b/>
          <w:bCs/>
          <w:szCs w:val="21"/>
          <w:lang w:eastAsia="zh-CN"/>
        </w:rPr>
        <w:t>指标</w:t>
      </w:r>
      <w:r>
        <w:rPr>
          <w:rFonts w:hint="eastAsia" w:ascii="仿宋" w:hAnsi="仿宋" w:eastAsia="仿宋"/>
          <w:b/>
          <w:bCs/>
          <w:szCs w:val="21"/>
        </w:rPr>
        <w:t>须</w:t>
      </w:r>
      <w:r>
        <w:rPr>
          <w:rFonts w:hint="eastAsia" w:ascii="仿宋" w:hAnsi="仿宋" w:eastAsia="仿宋"/>
          <w:b/>
          <w:bCs/>
          <w:szCs w:val="21"/>
          <w:lang w:eastAsia="zh-CN"/>
        </w:rPr>
        <w:t>提供相应证明材料</w:t>
      </w:r>
      <w:r>
        <w:rPr>
          <w:rFonts w:hint="eastAsia" w:ascii="仿宋" w:hAnsi="仿宋" w:eastAsia="仿宋"/>
          <w:szCs w:val="21"/>
        </w:rPr>
        <w:t>（</w:t>
      </w:r>
      <w:r>
        <w:rPr>
          <w:rFonts w:hint="eastAsia" w:ascii="仿宋" w:hAnsi="仿宋" w:eastAsia="仿宋" w:cs="仿宋"/>
          <w:b w:val="0"/>
          <w:bCs/>
          <w:szCs w:val="21"/>
          <w:lang w:eastAsia="zh-CN"/>
        </w:rPr>
        <w:t>★项</w:t>
      </w:r>
      <w:r>
        <w:rPr>
          <w:rFonts w:hint="eastAsia" w:ascii="仿宋" w:hAnsi="仿宋" w:eastAsia="仿宋"/>
          <w:szCs w:val="21"/>
          <w:lang w:eastAsia="zh-CN"/>
        </w:rPr>
        <w:t>证明材料须为政府主管部门【或</w:t>
      </w:r>
      <w:r>
        <w:rPr>
          <w:rStyle w:val="20"/>
          <w:rFonts w:hint="eastAsia" w:ascii="仿宋" w:hAnsi="仿宋" w:eastAsia="仿宋" w:cs="仿宋"/>
          <w:b w:val="0"/>
          <w:bCs/>
          <w:color w:val="auto"/>
          <w:sz w:val="21"/>
          <w:szCs w:val="21"/>
          <w:lang w:eastAsia="zh-CN"/>
        </w:rPr>
        <w:t>具备</w:t>
      </w:r>
      <w:r>
        <w:rPr>
          <w:rStyle w:val="20"/>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szCs w:val="21"/>
          <w:lang w:eastAsia="zh-CN"/>
        </w:rPr>
        <w:t>检测报告，非</w:t>
      </w:r>
      <w:r>
        <w:rPr>
          <w:rFonts w:hint="eastAsia" w:ascii="仿宋" w:hAnsi="仿宋" w:eastAsia="仿宋" w:cs="仿宋"/>
          <w:b w:val="0"/>
          <w:bCs/>
          <w:szCs w:val="21"/>
          <w:lang w:eastAsia="zh-CN"/>
        </w:rPr>
        <w:t>★项</w:t>
      </w:r>
      <w:r>
        <w:rPr>
          <w:rFonts w:hint="eastAsia" w:ascii="仿宋" w:hAnsi="仿宋" w:eastAsia="仿宋"/>
          <w:szCs w:val="21"/>
          <w:lang w:eastAsia="zh-CN"/>
        </w:rPr>
        <w:t>证明材料可为除彩页外的其他材料，</w:t>
      </w:r>
      <w:r>
        <w:rPr>
          <w:rFonts w:hint="eastAsia" w:ascii="仿宋" w:hAnsi="仿宋" w:eastAsia="仿宋"/>
          <w:b/>
          <w:bCs/>
          <w:szCs w:val="21"/>
          <w:lang w:eastAsia="zh-CN"/>
        </w:rPr>
        <w:t>无证明材料则可不予采纳</w:t>
      </w:r>
      <w:r>
        <w:rPr>
          <w:rFonts w:hint="eastAsia" w:ascii="仿宋" w:hAnsi="仿宋" w:eastAsia="仿宋"/>
          <w:szCs w:val="21"/>
          <w:lang w:eastAsia="zh-CN"/>
        </w:rPr>
        <w:t>；建议修改意见</w:t>
      </w:r>
      <w:r>
        <w:rPr>
          <w:rFonts w:hint="eastAsia" w:ascii="仿宋" w:hAnsi="仿宋" w:eastAsia="仿宋"/>
          <w:szCs w:val="21"/>
        </w:rPr>
        <w:t>原则上须满足业界主流品牌同档次水平产品</w:t>
      </w:r>
      <w:r>
        <w:rPr>
          <w:rFonts w:hint="eastAsia" w:ascii="仿宋" w:hAnsi="仿宋" w:eastAsia="仿宋"/>
          <w:szCs w:val="21"/>
          <w:lang w:eastAsia="zh-CN"/>
        </w:rPr>
        <w:t>且不得为独家</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1FD8E2C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u w:val="none"/>
          <w:lang w:eastAsia="zh-CN"/>
        </w:rPr>
      </w:pPr>
      <w:r>
        <w:rPr>
          <w:rFonts w:hint="eastAsia" w:ascii="仿宋" w:hAnsi="仿宋" w:eastAsia="仿宋"/>
          <w:b w:val="0"/>
          <w:bCs/>
          <w:szCs w:val="21"/>
          <w:u w:val="none"/>
          <w:lang w:val="en-US" w:eastAsia="zh-CN"/>
        </w:rPr>
        <w:t>3、院方根据各</w:t>
      </w:r>
      <w:r>
        <w:rPr>
          <w:rFonts w:hint="eastAsia" w:ascii="仿宋" w:hAnsi="仿宋" w:eastAsia="仿宋"/>
          <w:b w:val="0"/>
          <w:bCs/>
          <w:szCs w:val="21"/>
          <w:u w:val="none"/>
          <w:lang w:eastAsia="zh-CN"/>
        </w:rPr>
        <w:t>潜在供应商提供的配套耗材和须定期更换零部件的报价清单</w:t>
      </w:r>
      <w:r>
        <w:rPr>
          <w:rFonts w:hint="eastAsia" w:ascii="仿宋" w:hAnsi="仿宋" w:eastAsia="仿宋"/>
          <w:b w:val="0"/>
          <w:bCs/>
          <w:szCs w:val="21"/>
          <w:u w:val="none"/>
          <w:lang w:val="en-US" w:eastAsia="zh-CN"/>
        </w:rPr>
        <w:t>(须同步提供近2年内至少3家二级及以上医院发票原件扫描件和入库清单【遮挡无效】)进行</w:t>
      </w:r>
      <w:r>
        <w:rPr>
          <w:rFonts w:hint="eastAsia" w:ascii="仿宋" w:hAnsi="仿宋" w:eastAsia="仿宋"/>
          <w:b w:val="0"/>
          <w:bCs/>
          <w:szCs w:val="21"/>
          <w:u w:val="none"/>
          <w:lang w:eastAsia="zh-CN"/>
        </w:rPr>
        <w:t>设置相关报价限价，若潜在供应商均未提供报价清单（含发票原件扫描件和入库清单）则视同本项目无耗材和须定期更换零部件。</w:t>
      </w:r>
    </w:p>
    <w:p w14:paraId="2266D20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2" w:firstLineChars="200"/>
        <w:textAlignment w:val="auto"/>
        <w:rPr>
          <w:rFonts w:ascii="仿宋" w:hAnsi="仿宋" w:eastAsia="仿宋"/>
          <w:szCs w:val="21"/>
        </w:rPr>
      </w:pPr>
      <w:r>
        <w:rPr>
          <w:rFonts w:hint="eastAsia" w:ascii="仿宋" w:hAnsi="仿宋" w:eastAsia="仿宋"/>
          <w:b/>
          <w:bCs w:val="0"/>
          <w:szCs w:val="21"/>
          <w:u w:val="none"/>
          <w:lang w:val="en-US" w:eastAsia="zh-CN"/>
        </w:rPr>
        <w:t>4、</w:t>
      </w:r>
      <w:r>
        <w:rPr>
          <w:rFonts w:hint="eastAsia" w:ascii="仿宋" w:hAnsi="仿宋" w:eastAsia="仿宋"/>
          <w:b/>
          <w:bCs w:val="0"/>
          <w:szCs w:val="21"/>
          <w:u w:val="none"/>
          <w:lang w:eastAsia="zh-CN"/>
        </w:rPr>
        <w:t>杜绝两现象：</w:t>
      </w:r>
      <w:r>
        <w:rPr>
          <w:rFonts w:hint="eastAsia" w:ascii="仿宋" w:hAnsi="仿宋" w:eastAsia="仿宋"/>
          <w:b w:val="0"/>
          <w:bCs/>
          <w:szCs w:val="21"/>
          <w:u w:val="none"/>
          <w:lang w:eastAsia="zh-CN"/>
        </w:rPr>
        <w:t>一是整机保修</w:t>
      </w:r>
      <w:r>
        <w:rPr>
          <w:rFonts w:hint="eastAsia" w:ascii="仿宋" w:hAnsi="仿宋" w:eastAsia="仿宋"/>
          <w:b w:val="0"/>
          <w:bCs/>
          <w:szCs w:val="21"/>
          <w:u w:val="none"/>
          <w:lang w:val="en-US" w:eastAsia="zh-CN"/>
        </w:rPr>
        <w:t>3年，保修范围不包含须定期更换零部件，须定期更换零部件报价清单如下...；二是将须定期更换零部件变为耗材，恶意降低货物价格，提高耗材价（或直接提高耗材报价）。</w:t>
      </w:r>
    </w:p>
    <w:p w14:paraId="50C58F7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Cs w:val="21"/>
          <w:lang w:eastAsia="zh-CN"/>
        </w:rPr>
      </w:pPr>
      <w:r>
        <w:rPr>
          <w:rFonts w:hint="eastAsia" w:ascii="仿宋" w:hAnsi="仿宋" w:eastAsia="仿宋"/>
          <w:b/>
          <w:bCs w:val="0"/>
          <w:szCs w:val="21"/>
        </w:rPr>
        <w:t>附件：配套耗材、试剂【单人次费用】及须定期更换零部件报价清单（样表【若无则标注“无”且不可删除】、可单列</w:t>
      </w:r>
      <w:r>
        <w:rPr>
          <w:rFonts w:hint="eastAsia" w:ascii="仿宋" w:hAnsi="仿宋" w:eastAsia="仿宋"/>
          <w:b/>
          <w:bCs w:val="0"/>
          <w:szCs w:val="21"/>
          <w:lang w:eastAsia="zh-CN"/>
        </w:rPr>
        <w:t>）。</w:t>
      </w:r>
    </w:p>
    <w:p w14:paraId="2FD3648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rPr>
      </w:pPr>
      <w:r>
        <w:rPr>
          <w:rFonts w:hint="eastAsia" w:ascii="仿宋" w:hAnsi="仿宋" w:eastAsia="仿宋" w:cs="仿宋"/>
          <w:b w:val="0"/>
          <w:bCs/>
          <w:szCs w:val="21"/>
          <w:lang w:val="en-US" w:eastAsia="zh-CN"/>
        </w:rPr>
        <w:t>5、</w:t>
      </w:r>
      <w:r>
        <w:rPr>
          <w:rFonts w:hint="eastAsia" w:ascii="仿宋" w:hAnsi="仿宋" w:eastAsia="仿宋" w:cs="仿宋"/>
          <w:b w:val="0"/>
          <w:bCs/>
          <w:color w:val="FF0000"/>
          <w:szCs w:val="21"/>
          <w:lang w:val="en-US" w:eastAsia="zh-CN"/>
        </w:rPr>
        <w:t>拟设置为</w:t>
      </w:r>
      <w:r>
        <w:rPr>
          <w:rFonts w:hint="eastAsia" w:ascii="仿宋" w:hAnsi="仿宋" w:eastAsia="仿宋" w:cs="仿宋"/>
          <w:b w:val="0"/>
          <w:bCs/>
          <w:color w:val="auto"/>
          <w:szCs w:val="21"/>
          <w:lang w:eastAsia="zh-CN"/>
        </w:rPr>
        <w:t>★项参数</w:t>
      </w:r>
      <w:r>
        <w:rPr>
          <w:rFonts w:hint="eastAsia" w:ascii="仿宋" w:hAnsi="仿宋" w:eastAsia="仿宋" w:cs="仿宋"/>
          <w:b w:val="0"/>
          <w:bCs/>
          <w:color w:val="FF0000"/>
          <w:szCs w:val="21"/>
          <w:lang w:val="en-US" w:eastAsia="zh-CN"/>
        </w:rPr>
        <w:t>(</w:t>
      </w:r>
      <w:r>
        <w:rPr>
          <w:rFonts w:hint="eastAsia" w:ascii="仿宋" w:hAnsi="仿宋" w:eastAsia="仿宋" w:cs="仿宋"/>
          <w:b w:val="0"/>
          <w:bCs/>
          <w:color w:val="FF0000"/>
          <w:szCs w:val="21"/>
          <w:lang w:eastAsia="zh-CN"/>
        </w:rPr>
        <w:t>★项标准：</w:t>
      </w:r>
      <w:r>
        <w:rPr>
          <w:rFonts w:hint="eastAsia" w:ascii="仿宋" w:hAnsi="仿宋" w:eastAsia="仿宋" w:cs="仿宋"/>
          <w:b w:val="0"/>
          <w:bCs/>
          <w:color w:val="FF0000"/>
          <w:szCs w:val="21"/>
          <w:lang w:val="en-US" w:eastAsia="zh-CN"/>
        </w:rPr>
        <w:t>拟购设备核心参数指标</w:t>
      </w:r>
      <w:r>
        <w:rPr>
          <w:rFonts w:hint="eastAsia" w:ascii="仿宋" w:hAnsi="仿宋" w:eastAsia="仿宋" w:cs="仿宋"/>
          <w:b/>
          <w:bCs w:val="0"/>
          <w:color w:val="auto"/>
          <w:szCs w:val="21"/>
          <w:lang w:val="en-US" w:eastAsia="zh-CN"/>
        </w:rPr>
        <w:t>【如有不妥，请提出并提供权威部门证明文件，否则不予采纳】)</w:t>
      </w:r>
      <w:r>
        <w:rPr>
          <w:rFonts w:hint="eastAsia" w:ascii="仿宋" w:hAnsi="仿宋" w:eastAsia="仿宋" w:cs="仿宋"/>
          <w:b w:val="0"/>
          <w:bCs/>
          <w:szCs w:val="21"/>
          <w:lang w:eastAsia="zh-CN"/>
        </w:rPr>
        <w:t>要求投标人在投标文件中所提供的证明材料须为</w:t>
      </w:r>
      <w:r>
        <w:rPr>
          <w:rFonts w:hint="eastAsia" w:ascii="仿宋" w:hAnsi="仿宋" w:eastAsia="仿宋" w:cs="仿宋"/>
          <w:b w:val="0"/>
          <w:bCs/>
          <w:color w:val="auto"/>
          <w:sz w:val="21"/>
          <w:szCs w:val="21"/>
        </w:rPr>
        <w:t>政府主管部门</w:t>
      </w:r>
      <w:r>
        <w:rPr>
          <w:rFonts w:hint="eastAsia" w:ascii="仿宋" w:hAnsi="仿宋" w:eastAsia="仿宋" w:cs="仿宋"/>
          <w:b/>
          <w:bCs w:val="0"/>
          <w:color w:val="auto"/>
          <w:sz w:val="21"/>
          <w:szCs w:val="21"/>
          <w:lang w:eastAsia="zh-CN"/>
        </w:rPr>
        <w:t>（</w:t>
      </w:r>
      <w:r>
        <w:rPr>
          <w:rStyle w:val="20"/>
          <w:rFonts w:hint="eastAsia" w:ascii="仿宋" w:hAnsi="仿宋" w:eastAsia="仿宋" w:cs="仿宋"/>
          <w:b/>
          <w:bCs w:val="0"/>
          <w:color w:val="auto"/>
          <w:sz w:val="21"/>
          <w:szCs w:val="21"/>
          <w:lang w:eastAsia="zh-CN"/>
        </w:rPr>
        <w:t>或具备</w:t>
      </w:r>
      <w:r>
        <w:rPr>
          <w:rStyle w:val="20"/>
          <w:rFonts w:hint="eastAsia" w:ascii="仿宋" w:hAnsi="仿宋" w:eastAsia="仿宋" w:cs="仿宋"/>
          <w:b/>
          <w:bCs w:val="0"/>
          <w:color w:val="auto"/>
          <w:sz w:val="21"/>
          <w:szCs w:val="21"/>
          <w:lang w:val="en-US" w:eastAsia="zh-CN"/>
        </w:rPr>
        <w:t>CMA【或CNAS】资质检测机构）</w:t>
      </w:r>
      <w:r>
        <w:rPr>
          <w:rStyle w:val="20"/>
          <w:rFonts w:hint="eastAsia" w:ascii="仿宋" w:hAnsi="仿宋" w:eastAsia="仿宋" w:cs="仿宋"/>
          <w:b w:val="0"/>
          <w:bCs/>
          <w:color w:val="auto"/>
          <w:sz w:val="21"/>
          <w:szCs w:val="21"/>
          <w:lang w:val="en-US" w:eastAsia="zh-CN"/>
        </w:rPr>
        <w:t>出具的</w:t>
      </w:r>
      <w:r>
        <w:rPr>
          <w:rStyle w:val="20"/>
          <w:rFonts w:hint="eastAsia" w:ascii="仿宋" w:hAnsi="仿宋" w:eastAsia="仿宋" w:cs="仿宋"/>
          <w:b w:val="0"/>
          <w:bCs/>
          <w:color w:val="auto"/>
          <w:sz w:val="21"/>
          <w:szCs w:val="21"/>
        </w:rPr>
        <w:t>质检报告原件扫描件</w:t>
      </w:r>
      <w:r>
        <w:rPr>
          <w:rStyle w:val="20"/>
          <w:rFonts w:hint="eastAsia" w:ascii="仿宋" w:hAnsi="仿宋" w:eastAsia="仿宋" w:cs="仿宋"/>
          <w:b w:val="0"/>
          <w:bCs/>
          <w:color w:val="auto"/>
          <w:sz w:val="21"/>
          <w:szCs w:val="21"/>
          <w:lang w:eastAsia="zh-CN"/>
        </w:rPr>
        <w:t>（政府主管部门</w:t>
      </w:r>
      <w:r>
        <w:rPr>
          <w:rFonts w:hint="eastAsia" w:ascii="仿宋" w:hAnsi="仿宋" w:eastAsia="仿宋" w:cs="仿宋"/>
          <w:b w:val="0"/>
          <w:bCs/>
          <w:color w:val="auto"/>
          <w:sz w:val="21"/>
          <w:szCs w:val="21"/>
        </w:rPr>
        <w:t>如</w:t>
      </w:r>
      <w:r>
        <w:rPr>
          <w:rFonts w:hint="eastAsia" w:ascii="仿宋" w:hAnsi="仿宋" w:eastAsia="仿宋" w:cs="仿宋"/>
          <w:b w:val="0"/>
          <w:bCs/>
          <w:color w:val="auto"/>
          <w:sz w:val="21"/>
          <w:szCs w:val="21"/>
          <w:lang w:eastAsia="zh-CN"/>
        </w:rPr>
        <w:t>国家</w:t>
      </w:r>
      <w:r>
        <w:rPr>
          <w:rStyle w:val="20"/>
          <w:rFonts w:hint="eastAsia" w:ascii="仿宋" w:hAnsi="仿宋" w:eastAsia="仿宋" w:cs="仿宋"/>
          <w:b w:val="0"/>
          <w:bCs/>
          <w:color w:val="auto"/>
          <w:sz w:val="21"/>
          <w:szCs w:val="21"/>
        </w:rPr>
        <w:t>食药监局</w:t>
      </w:r>
      <w:r>
        <w:rPr>
          <w:rStyle w:val="20"/>
          <w:rFonts w:hint="eastAsia" w:ascii="仿宋" w:hAnsi="仿宋" w:eastAsia="仿宋" w:cs="仿宋"/>
          <w:b w:val="0"/>
          <w:bCs/>
          <w:color w:val="auto"/>
          <w:sz w:val="21"/>
          <w:szCs w:val="21"/>
          <w:lang w:eastAsia="zh-CN"/>
        </w:rPr>
        <w:t>或</w:t>
      </w:r>
      <w:r>
        <w:rPr>
          <w:rStyle w:val="20"/>
          <w:rFonts w:hint="eastAsia" w:ascii="仿宋" w:hAnsi="仿宋" w:eastAsia="仿宋" w:cs="仿宋"/>
          <w:b w:val="0"/>
          <w:bCs/>
          <w:color w:val="auto"/>
          <w:sz w:val="21"/>
          <w:szCs w:val="21"/>
        </w:rPr>
        <w:t>其下属单位</w:t>
      </w:r>
      <w:r>
        <w:rPr>
          <w:rStyle w:val="20"/>
          <w:rFonts w:hint="eastAsia" w:ascii="仿宋" w:hAnsi="仿宋" w:eastAsia="仿宋" w:cs="仿宋"/>
          <w:b w:val="0"/>
          <w:bCs/>
          <w:color w:val="auto"/>
          <w:sz w:val="21"/>
          <w:szCs w:val="21"/>
          <w:lang w:eastAsia="zh-CN"/>
        </w:rPr>
        <w:t>或省级医疗器械检验机构或省级食品药品检验机构等）。</w:t>
      </w:r>
    </w:p>
    <w:p w14:paraId="7F480D9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lang w:val="en-US" w:eastAsia="zh-CN"/>
        </w:rPr>
      </w:pPr>
      <w:r>
        <w:rPr>
          <w:rFonts w:hint="eastAsia" w:ascii="仿宋" w:hAnsi="仿宋" w:eastAsia="仿宋"/>
          <w:b w:val="0"/>
          <w:bCs/>
          <w:szCs w:val="21"/>
          <w:lang w:eastAsia="zh-CN"/>
        </w:rPr>
        <w:t>附件：表</w:t>
      </w:r>
      <w:r>
        <w:rPr>
          <w:rFonts w:hint="eastAsia" w:ascii="仿宋" w:hAnsi="仿宋" w:eastAsia="仿宋"/>
          <w:b w:val="0"/>
          <w:bCs/>
          <w:szCs w:val="21"/>
          <w:lang w:val="en-US" w:eastAsia="zh-CN"/>
        </w:rPr>
        <w:t>1-4</w:t>
      </w:r>
    </w:p>
    <w:p w14:paraId="2B28A5FB">
      <w:pPr>
        <w:spacing w:line="320" w:lineRule="exact"/>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b/>
          <w:szCs w:val="21"/>
          <w:lang w:val="en-US" w:eastAsia="zh-CN"/>
        </w:rPr>
        <w:t>建设目标：</w:t>
      </w:r>
    </w:p>
    <w:p w14:paraId="204910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b/>
          <w:szCs w:val="21"/>
          <w:lang w:val="en-US" w:eastAsia="zh-CN"/>
        </w:rPr>
      </w:pPr>
      <w:r>
        <w:rPr>
          <w:rFonts w:hint="eastAsia" w:ascii="仿宋" w:hAnsi="仿宋" w:eastAsia="仿宋"/>
          <w:sz w:val="24"/>
          <w:szCs w:val="24"/>
          <w:lang w:val="en-US" w:eastAsia="zh-CN"/>
        </w:rPr>
        <w:t>前期我院省级示范优质护理服务病区建设已购置10台，现需新购置42台移动护理推车，为此</w:t>
      </w:r>
      <w:r>
        <w:rPr>
          <w:rFonts w:hint="eastAsia" w:ascii="仿宋" w:hAnsi="仿宋" w:eastAsia="仿宋"/>
          <w:sz w:val="24"/>
          <w:szCs w:val="24"/>
        </w:rPr>
        <w:t>满足临床实际需求</w:t>
      </w:r>
      <w:r>
        <w:rPr>
          <w:rFonts w:hint="eastAsia" w:ascii="仿宋" w:hAnsi="仿宋" w:eastAsia="仿宋"/>
          <w:sz w:val="24"/>
          <w:szCs w:val="24"/>
          <w:lang w:eastAsia="zh-CN"/>
        </w:rPr>
        <w:t>。</w:t>
      </w:r>
    </w:p>
    <w:p w14:paraId="2C0E6202">
      <w:pPr>
        <w:spacing w:line="320" w:lineRule="exact"/>
        <w:rPr>
          <w:rFonts w:hint="eastAsia" w:ascii="仿宋" w:hAnsi="仿宋" w:eastAsia="仿宋"/>
          <w:b/>
          <w:szCs w:val="21"/>
        </w:rPr>
      </w:pPr>
      <w:r>
        <w:rPr>
          <w:rFonts w:hint="eastAsia" w:ascii="仿宋" w:hAnsi="仿宋" w:eastAsia="仿宋"/>
          <w:b/>
          <w:szCs w:val="21"/>
          <w:lang w:val="en-US" w:eastAsia="zh-CN"/>
        </w:rPr>
        <w:t>附件</w:t>
      </w:r>
      <w:r>
        <w:rPr>
          <w:rFonts w:hint="eastAsia" w:ascii="仿宋" w:hAnsi="仿宋" w:eastAsia="仿宋"/>
          <w:b/>
          <w:szCs w:val="21"/>
        </w:rPr>
        <w:t>：移动护理推车拟购项目初步参数</w:t>
      </w:r>
    </w:p>
    <w:p w14:paraId="08CCF85C">
      <w:pPr>
        <w:spacing w:line="320" w:lineRule="exact"/>
        <w:rPr>
          <w:rFonts w:hint="eastAsia" w:ascii="仿宋" w:hAnsi="仿宋" w:eastAsia="仿宋"/>
          <w:b/>
          <w:szCs w:val="21"/>
        </w:rPr>
      </w:pPr>
    </w:p>
    <w:tbl>
      <w:tblPr>
        <w:tblStyle w:val="12"/>
        <w:tblW w:w="10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140"/>
        <w:gridCol w:w="4011"/>
        <w:gridCol w:w="752"/>
        <w:gridCol w:w="978"/>
        <w:gridCol w:w="978"/>
        <w:gridCol w:w="995"/>
      </w:tblGrid>
      <w:tr w14:paraId="636B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073" w:type="dxa"/>
            <w:gridSpan w:val="4"/>
            <w:tcBorders>
              <w:top w:val="single" w:color="auto" w:sz="4" w:space="0"/>
              <w:left w:val="single" w:color="auto" w:sz="4" w:space="0"/>
              <w:bottom w:val="single" w:color="auto" w:sz="4" w:space="0"/>
              <w:right w:val="single" w:color="auto" w:sz="4" w:space="0"/>
            </w:tcBorders>
            <w:noWrap w:val="0"/>
            <w:vAlign w:val="center"/>
          </w:tcPr>
          <w:p w14:paraId="713ED59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本项目初步参数拟设置情况</w:t>
            </w:r>
          </w:p>
        </w:tc>
        <w:tc>
          <w:tcPr>
            <w:tcW w:w="978" w:type="dxa"/>
            <w:vMerge w:val="restart"/>
            <w:tcBorders>
              <w:top w:val="single" w:color="auto" w:sz="4" w:space="0"/>
              <w:left w:val="single" w:color="auto" w:sz="4" w:space="0"/>
              <w:right w:val="single" w:color="auto" w:sz="4" w:space="0"/>
            </w:tcBorders>
            <w:noWrap w:val="0"/>
            <w:vAlign w:val="center"/>
          </w:tcPr>
          <w:p w14:paraId="02E0D10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heme="minorBidi"/>
                <w:bCs/>
                <w:kern w:val="2"/>
                <w:sz w:val="21"/>
                <w:szCs w:val="21"/>
                <w:lang w:val="en-US" w:eastAsia="zh-CN" w:bidi="ar-SA"/>
              </w:rPr>
              <w:t>响应情况</w:t>
            </w:r>
          </w:p>
        </w:tc>
        <w:tc>
          <w:tcPr>
            <w:tcW w:w="978" w:type="dxa"/>
            <w:vMerge w:val="restart"/>
            <w:tcBorders>
              <w:top w:val="single" w:color="auto" w:sz="4" w:space="0"/>
              <w:left w:val="single" w:color="auto" w:sz="4" w:space="0"/>
              <w:right w:val="single" w:color="auto" w:sz="4" w:space="0"/>
            </w:tcBorders>
            <w:noWrap w:val="0"/>
            <w:vAlign w:val="center"/>
          </w:tcPr>
          <w:p w14:paraId="141D4BC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建议修改指标</w:t>
            </w:r>
          </w:p>
        </w:tc>
        <w:tc>
          <w:tcPr>
            <w:tcW w:w="995" w:type="dxa"/>
            <w:vMerge w:val="restart"/>
            <w:tcBorders>
              <w:top w:val="single" w:color="auto" w:sz="4" w:space="0"/>
              <w:left w:val="single" w:color="auto" w:sz="4" w:space="0"/>
              <w:right w:val="single" w:color="auto" w:sz="4" w:space="0"/>
            </w:tcBorders>
            <w:noWrap w:val="0"/>
            <w:vAlign w:val="top"/>
          </w:tcPr>
          <w:p w14:paraId="535539D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备注（真实指标、是否独家、是否提供有效检测报告）</w:t>
            </w:r>
          </w:p>
        </w:tc>
      </w:tr>
      <w:tr w14:paraId="0955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1170" w:type="dxa"/>
            <w:tcBorders>
              <w:top w:val="single" w:color="auto" w:sz="4" w:space="0"/>
              <w:left w:val="single" w:color="auto" w:sz="4" w:space="0"/>
              <w:bottom w:val="single" w:color="auto" w:sz="4" w:space="0"/>
              <w:right w:val="single" w:color="auto" w:sz="4" w:space="0"/>
            </w:tcBorders>
            <w:noWrap w:val="0"/>
            <w:vAlign w:val="center"/>
          </w:tcPr>
          <w:p w14:paraId="7524CA40">
            <w:pPr>
              <w:pStyle w:val="21"/>
              <w:widowControl/>
              <w:kinsoku w:val="0"/>
              <w:overflowPunct w:val="0"/>
              <w:spacing w:line="400" w:lineRule="exac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名称数量</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2569745">
            <w:pPr>
              <w:pStyle w:val="21"/>
              <w:widowControl/>
              <w:kinsoku w:val="0"/>
              <w:overflowPunct w:val="0"/>
              <w:spacing w:line="400" w:lineRule="exact"/>
              <w:jc w:val="center"/>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系统功能</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5EAE24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初步参数设置情况</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4C102F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是否设置为★</w:t>
            </w:r>
          </w:p>
        </w:tc>
        <w:tc>
          <w:tcPr>
            <w:tcW w:w="978" w:type="dxa"/>
            <w:vMerge w:val="continue"/>
            <w:tcBorders>
              <w:left w:val="single" w:color="auto" w:sz="4" w:space="0"/>
              <w:right w:val="single" w:color="auto" w:sz="4" w:space="0"/>
            </w:tcBorders>
            <w:noWrap w:val="0"/>
            <w:vAlign w:val="center"/>
          </w:tcPr>
          <w:p w14:paraId="0253ECF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F4788C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40CD7E0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8A7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170" w:type="dxa"/>
            <w:vMerge w:val="restart"/>
            <w:tcBorders>
              <w:top w:val="single" w:color="auto" w:sz="4" w:space="0"/>
              <w:left w:val="single" w:color="auto" w:sz="4" w:space="0"/>
              <w:right w:val="single" w:color="auto" w:sz="4" w:space="0"/>
            </w:tcBorders>
            <w:noWrap w:val="0"/>
            <w:vAlign w:val="center"/>
          </w:tcPr>
          <w:p w14:paraId="19D6E30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2100F7D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15EC9CC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2A7AE19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7641D254">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3F5B500E">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4D611C79">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10BD232C">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50E7C5C1">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123CD6EB">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11A33BB8">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4A77BC59">
            <w:pPr>
              <w:pStyle w:val="21"/>
              <w:widowControl/>
              <w:kinsoku w:val="0"/>
              <w:overflowPunct w:val="0"/>
              <w:spacing w:line="400" w:lineRule="exact"/>
              <w:rPr>
                <w:rFonts w:hint="eastAsia" w:ascii="方正公文楷体" w:hAnsi="方正公文楷体" w:eastAsia="方正公文楷体" w:cs="方正公文楷体"/>
                <w:b w:val="0"/>
                <w:bCs w:val="0"/>
                <w:sz w:val="24"/>
                <w:szCs w:val="24"/>
              </w:rPr>
            </w:pPr>
          </w:p>
          <w:p w14:paraId="0BF7808F">
            <w:pPr>
              <w:pStyle w:val="21"/>
              <w:widowControl/>
              <w:kinsoku w:val="0"/>
              <w:overflowPunct w:val="0"/>
              <w:spacing w:line="400" w:lineRule="exact"/>
              <w:rPr>
                <w:rFonts w:hint="eastAsia" w:ascii="仿宋" w:hAnsi="仿宋" w:eastAsia="方正公文楷体"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移动护理推车</w:t>
            </w:r>
            <w:r>
              <w:rPr>
                <w:rFonts w:hint="eastAsia" w:ascii="方正公文楷体" w:hAnsi="方正公文楷体" w:eastAsia="方正公文楷体" w:cs="方正公文楷体"/>
                <w:b w:val="0"/>
                <w:bCs w:val="0"/>
                <w:sz w:val="24"/>
                <w:szCs w:val="24"/>
                <w:lang w:val="en-US" w:eastAsia="zh-CN"/>
              </w:rPr>
              <w:t>车体（数量42台）</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2E5D47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整车重量</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080C6F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color w:val="auto"/>
                <w:kern w:val="2"/>
                <w:sz w:val="21"/>
                <w:szCs w:val="21"/>
                <w:lang w:val="en-US" w:eastAsia="zh-CN" w:bidi="ar-SA"/>
              </w:rPr>
            </w:pPr>
            <w:r>
              <w:rPr>
                <w:rFonts w:hint="eastAsia" w:ascii="方正公文楷体" w:hAnsi="方正公文楷体" w:eastAsia="方正公文楷体" w:cs="方正公文楷体"/>
                <w:b w:val="0"/>
                <w:bCs w:val="0"/>
                <w:color w:val="auto"/>
                <w:sz w:val="24"/>
                <w:szCs w:val="24"/>
              </w:rPr>
              <w:t>整车重量≤</w:t>
            </w:r>
            <w:r>
              <w:rPr>
                <w:rFonts w:hint="eastAsia" w:ascii="方正公文楷体" w:hAnsi="方正公文楷体" w:eastAsia="方正公文楷体" w:cs="方正公文楷体"/>
                <w:b w:val="0"/>
                <w:bCs w:val="0"/>
                <w:color w:val="auto"/>
                <w:sz w:val="24"/>
                <w:szCs w:val="24"/>
                <w:lang w:val="en-US" w:eastAsia="zh-CN"/>
              </w:rPr>
              <w:t>40</w:t>
            </w:r>
            <w:r>
              <w:rPr>
                <w:rFonts w:hint="eastAsia" w:ascii="方正公文楷体" w:hAnsi="方正公文楷体" w:eastAsia="方正公文楷体" w:cs="方正公文楷体"/>
                <w:b w:val="0"/>
                <w:bCs w:val="0"/>
                <w:color w:val="auto"/>
                <w:sz w:val="24"/>
                <w:szCs w:val="24"/>
              </w:rPr>
              <w:t>KG（不含挂件）；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9CA657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1939FC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E329FD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C342F5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50A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170" w:type="dxa"/>
            <w:vMerge w:val="continue"/>
            <w:tcBorders>
              <w:left w:val="single" w:color="auto" w:sz="4" w:space="0"/>
              <w:right w:val="single" w:color="auto" w:sz="4" w:space="0"/>
            </w:tcBorders>
            <w:noWrap w:val="0"/>
            <w:vAlign w:val="center"/>
          </w:tcPr>
          <w:p w14:paraId="7697901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97C6A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外形尺寸</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31F4B8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color w:val="auto"/>
                <w:kern w:val="2"/>
                <w:sz w:val="21"/>
                <w:szCs w:val="21"/>
                <w:lang w:val="en-US" w:eastAsia="zh-CN" w:bidi="ar-SA"/>
              </w:rPr>
            </w:pPr>
            <w:r>
              <w:rPr>
                <w:rFonts w:hint="eastAsia" w:ascii="方正公文楷体" w:hAnsi="方正公文楷体" w:eastAsia="方正公文楷体" w:cs="方正公文楷体"/>
                <w:b w:val="0"/>
                <w:bCs w:val="0"/>
                <w:color w:val="auto"/>
                <w:kern w:val="0"/>
                <w:sz w:val="24"/>
                <w:szCs w:val="24"/>
                <w:highlight w:val="none"/>
              </w:rPr>
              <w:t>不小于宽</w:t>
            </w:r>
            <w:r>
              <w:rPr>
                <w:rFonts w:hint="eastAsia" w:ascii="方正公文楷体" w:hAnsi="方正公文楷体" w:eastAsia="方正公文楷体" w:cs="方正公文楷体"/>
                <w:b w:val="0"/>
                <w:bCs w:val="0"/>
                <w:color w:val="auto"/>
                <w:kern w:val="0"/>
                <w:sz w:val="24"/>
                <w:szCs w:val="24"/>
                <w:highlight w:val="none"/>
                <w:lang w:val="en-US" w:eastAsia="zh-CN"/>
              </w:rPr>
              <w:t>500</w:t>
            </w:r>
            <w:r>
              <w:rPr>
                <w:rFonts w:hint="eastAsia" w:ascii="方正公文楷体" w:hAnsi="方正公文楷体" w:eastAsia="方正公文楷体" w:cs="方正公文楷体"/>
                <w:b w:val="0"/>
                <w:bCs w:val="0"/>
                <w:color w:val="auto"/>
                <w:kern w:val="0"/>
                <w:sz w:val="24"/>
                <w:szCs w:val="24"/>
                <w:highlight w:val="none"/>
              </w:rPr>
              <w:t>*深</w:t>
            </w:r>
            <w:r>
              <w:rPr>
                <w:rFonts w:hint="eastAsia" w:ascii="方正公文楷体" w:hAnsi="方正公文楷体" w:eastAsia="方正公文楷体" w:cs="方正公文楷体"/>
                <w:b w:val="0"/>
                <w:bCs w:val="0"/>
                <w:color w:val="auto"/>
                <w:kern w:val="0"/>
                <w:sz w:val="24"/>
                <w:szCs w:val="24"/>
                <w:highlight w:val="none"/>
                <w:lang w:val="en-US" w:eastAsia="zh-CN"/>
              </w:rPr>
              <w:t>54</w:t>
            </w:r>
            <w:r>
              <w:rPr>
                <w:rFonts w:hint="eastAsia" w:ascii="方正公文楷体" w:hAnsi="方正公文楷体" w:eastAsia="方正公文楷体" w:cs="方正公文楷体"/>
                <w:b w:val="0"/>
                <w:bCs w:val="0"/>
                <w:color w:val="auto"/>
                <w:kern w:val="0"/>
                <w:sz w:val="24"/>
                <w:szCs w:val="24"/>
                <w:highlight w:val="none"/>
              </w:rPr>
              <w:t>0*</w:t>
            </w:r>
            <w:r>
              <w:rPr>
                <w:rFonts w:hint="eastAsia" w:ascii="方正公文楷体" w:hAnsi="方正公文楷体" w:eastAsia="方正公文楷体" w:cs="方正公文楷体"/>
                <w:b w:val="0"/>
                <w:bCs w:val="0"/>
                <w:color w:val="auto"/>
                <w:kern w:val="0"/>
                <w:sz w:val="24"/>
                <w:szCs w:val="24"/>
                <w:highlight w:val="none"/>
                <w:lang w:val="en-US" w:eastAsia="zh-CN"/>
              </w:rPr>
              <w:t>高980</w:t>
            </w:r>
            <w:r>
              <w:rPr>
                <w:rFonts w:hint="eastAsia" w:ascii="方正公文楷体" w:hAnsi="方正公文楷体" w:eastAsia="方正公文楷体" w:cs="方正公文楷体"/>
                <w:b w:val="0"/>
                <w:bCs w:val="0"/>
                <w:color w:val="auto"/>
                <w:kern w:val="0"/>
                <w:sz w:val="24"/>
                <w:szCs w:val="24"/>
                <w:highlight w:val="none"/>
              </w:rPr>
              <w:t>mm</w:t>
            </w:r>
            <w:r>
              <w:rPr>
                <w:rFonts w:hint="eastAsia" w:ascii="方正公文楷体" w:hAnsi="方正公文楷体" w:eastAsia="方正公文楷体" w:cs="方正公文楷体"/>
                <w:b w:val="0"/>
                <w:bCs w:val="0"/>
                <w:color w:val="auto"/>
                <w:sz w:val="24"/>
                <w:szCs w:val="24"/>
                <w:highlight w:val="none"/>
              </w:rPr>
              <w:t>；</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096084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A8A644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B9FBCC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249E5C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CA1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70" w:type="dxa"/>
            <w:vMerge w:val="continue"/>
            <w:tcBorders>
              <w:left w:val="single" w:color="auto" w:sz="4" w:space="0"/>
              <w:right w:val="single" w:color="auto" w:sz="4" w:space="0"/>
            </w:tcBorders>
            <w:noWrap w:val="0"/>
            <w:vAlign w:val="center"/>
          </w:tcPr>
          <w:p w14:paraId="20E8668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98C93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扩展台面</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58242F4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color w:val="auto"/>
                <w:kern w:val="2"/>
                <w:sz w:val="21"/>
                <w:szCs w:val="21"/>
                <w:lang w:val="en-US" w:eastAsia="zh-CN" w:bidi="ar-SA"/>
              </w:rPr>
            </w:pPr>
            <w:r>
              <w:rPr>
                <w:rFonts w:hint="eastAsia" w:ascii="方正公文楷体" w:hAnsi="方正公文楷体" w:eastAsia="方正公文楷体" w:cs="方正公文楷体"/>
                <w:b w:val="0"/>
                <w:bCs w:val="0"/>
                <w:color w:val="auto"/>
                <w:sz w:val="24"/>
                <w:szCs w:val="24"/>
              </w:rPr>
              <w:t>紧凑型设计，可隐藏在车体内部，使用时侧边拉出；</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C6B648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AF8586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D30AD0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7042A4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540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170" w:type="dxa"/>
            <w:vMerge w:val="continue"/>
            <w:tcBorders>
              <w:left w:val="single" w:color="auto" w:sz="4" w:space="0"/>
              <w:right w:val="single" w:color="auto" w:sz="4" w:space="0"/>
            </w:tcBorders>
            <w:noWrap w:val="0"/>
            <w:vAlign w:val="center"/>
          </w:tcPr>
          <w:p w14:paraId="25A5049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48AA2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台面把手</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7F1B097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color w:val="auto"/>
                <w:kern w:val="2"/>
                <w:sz w:val="21"/>
                <w:szCs w:val="21"/>
                <w:lang w:val="en-US" w:eastAsia="zh-CN" w:bidi="ar-SA"/>
              </w:rPr>
            </w:pPr>
            <w:r>
              <w:rPr>
                <w:rFonts w:hint="eastAsia" w:ascii="方正公文楷体" w:hAnsi="方正公文楷体" w:eastAsia="方正公文楷体" w:cs="方正公文楷体"/>
                <w:b w:val="0"/>
                <w:bCs w:val="0"/>
                <w:color w:val="auto"/>
                <w:sz w:val="24"/>
                <w:szCs w:val="24"/>
              </w:rPr>
              <w:t>台面及把手为</w:t>
            </w:r>
            <w:r>
              <w:rPr>
                <w:rFonts w:hint="eastAsia" w:ascii="方正公文楷体" w:hAnsi="方正公文楷体" w:eastAsia="方正公文楷体" w:cs="方正公文楷体"/>
                <w:b w:val="0"/>
                <w:bCs w:val="0"/>
                <w:color w:val="auto"/>
                <w:sz w:val="24"/>
                <w:szCs w:val="24"/>
                <w:lang w:val="en-US" w:eastAsia="zh-CN"/>
              </w:rPr>
              <w:t>铝合金</w:t>
            </w:r>
            <w:r>
              <w:rPr>
                <w:rFonts w:hint="eastAsia" w:ascii="方正公文楷体" w:hAnsi="方正公文楷体" w:eastAsia="方正公文楷体" w:cs="方正公文楷体"/>
                <w:b w:val="0"/>
                <w:bCs w:val="0"/>
                <w:color w:val="auto"/>
                <w:sz w:val="24"/>
                <w:szCs w:val="24"/>
              </w:rPr>
              <w:t>材质无缝一体成型，把手与台面之间无螺丝固定，颜色及材质一致，把手两端直接与台面相连为封闭式设计</w:t>
            </w:r>
            <w:r>
              <w:rPr>
                <w:rFonts w:hint="eastAsia" w:ascii="方正公文楷体" w:hAnsi="方正公文楷体" w:eastAsia="方正公文楷体" w:cs="方正公文楷体"/>
                <w:b w:val="0"/>
                <w:bCs w:val="0"/>
                <w:color w:val="auto"/>
                <w:sz w:val="24"/>
                <w:szCs w:val="24"/>
                <w:lang w:eastAsia="zh-CN"/>
              </w:rPr>
              <w:t>，符合人体工程学设计，方便推拉。</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6956EE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DD19CD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F0E3C4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F69567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C8A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70" w:type="dxa"/>
            <w:vMerge w:val="continue"/>
            <w:tcBorders>
              <w:left w:val="single" w:color="auto" w:sz="4" w:space="0"/>
              <w:right w:val="single" w:color="auto" w:sz="4" w:space="0"/>
            </w:tcBorders>
            <w:noWrap w:val="0"/>
            <w:vAlign w:val="center"/>
          </w:tcPr>
          <w:p w14:paraId="21EF3C7E">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07AE5C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工作台面</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09F4D58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尺寸：</w:t>
            </w:r>
            <w:r>
              <w:rPr>
                <w:rFonts w:hint="eastAsia" w:ascii="方正公文楷体" w:hAnsi="方正公文楷体" w:eastAsia="方正公文楷体" w:cs="方正公文楷体"/>
                <w:b w:val="0"/>
                <w:bCs w:val="0"/>
                <w:color w:val="000000"/>
                <w:kern w:val="0"/>
                <w:sz w:val="24"/>
                <w:szCs w:val="24"/>
                <w:highlight w:val="none"/>
              </w:rPr>
              <w:t>不小于</w:t>
            </w:r>
            <w:r>
              <w:rPr>
                <w:rFonts w:hint="eastAsia" w:ascii="方正公文楷体" w:hAnsi="方正公文楷体" w:eastAsia="方正公文楷体" w:cs="方正公文楷体"/>
                <w:b w:val="0"/>
                <w:bCs w:val="0"/>
                <w:sz w:val="24"/>
                <w:szCs w:val="24"/>
              </w:rPr>
              <w:t>宽4</w:t>
            </w:r>
            <w:r>
              <w:rPr>
                <w:rFonts w:hint="eastAsia" w:ascii="方正公文楷体" w:hAnsi="方正公文楷体" w:eastAsia="方正公文楷体" w:cs="方正公文楷体"/>
                <w:b w:val="0"/>
                <w:bCs w:val="0"/>
                <w:sz w:val="24"/>
                <w:szCs w:val="24"/>
                <w:lang w:val="en-US" w:eastAsia="zh-CN"/>
              </w:rPr>
              <w:t>10</w:t>
            </w:r>
            <w:r>
              <w:rPr>
                <w:rFonts w:hint="eastAsia" w:ascii="方正公文楷体" w:hAnsi="方正公文楷体" w:eastAsia="方正公文楷体" w:cs="方正公文楷体"/>
                <w:b w:val="0"/>
                <w:bCs w:val="0"/>
                <w:sz w:val="24"/>
                <w:szCs w:val="24"/>
              </w:rPr>
              <w:t>x</w:t>
            </w:r>
            <w:r>
              <w:rPr>
                <w:rFonts w:hint="eastAsia" w:ascii="方正公文楷体" w:hAnsi="方正公文楷体" w:eastAsia="方正公文楷体" w:cs="方正公文楷体"/>
                <w:b w:val="0"/>
                <w:bCs w:val="0"/>
                <w:sz w:val="24"/>
                <w:szCs w:val="24"/>
                <w:lang w:val="en-US" w:eastAsia="zh-CN"/>
              </w:rPr>
              <w:t>深375</w:t>
            </w:r>
            <w:r>
              <w:rPr>
                <w:rFonts w:hint="eastAsia" w:ascii="方正公文楷体" w:hAnsi="方正公文楷体" w:eastAsia="方正公文楷体" w:cs="方正公文楷体"/>
                <w:b w:val="0"/>
                <w:bCs w:val="0"/>
                <w:sz w:val="24"/>
                <w:szCs w:val="24"/>
              </w:rPr>
              <w:t>mm；</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98C98A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C62A2B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788B57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61C996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985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70" w:type="dxa"/>
            <w:vMerge w:val="continue"/>
            <w:tcBorders>
              <w:left w:val="single" w:color="auto" w:sz="4" w:space="0"/>
              <w:right w:val="single" w:color="auto" w:sz="4" w:space="0"/>
            </w:tcBorders>
            <w:noWrap w:val="0"/>
            <w:vAlign w:val="center"/>
          </w:tcPr>
          <w:p w14:paraId="3B3C6C0F">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CBBAC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防滑围挡设计</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0A9D48F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具有与台面一体成型的铝合金材质防滑围挡，围挡高度≥28mm</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5CA38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673F2F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25C7E8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3F6761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FE9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170" w:type="dxa"/>
            <w:vMerge w:val="continue"/>
            <w:tcBorders>
              <w:left w:val="single" w:color="auto" w:sz="4" w:space="0"/>
              <w:right w:val="single" w:color="auto" w:sz="4" w:space="0"/>
            </w:tcBorders>
            <w:noWrap w:val="0"/>
            <w:vAlign w:val="center"/>
          </w:tcPr>
          <w:p w14:paraId="7178523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1C8B9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整车材质</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6E780D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整车主要材质为</w:t>
            </w:r>
            <w:r>
              <w:rPr>
                <w:rFonts w:hint="eastAsia" w:ascii="方正公文楷体" w:hAnsi="方正公文楷体" w:eastAsia="方正公文楷体" w:cs="方正公文楷体"/>
                <w:b w:val="0"/>
                <w:bCs w:val="0"/>
                <w:sz w:val="24"/>
                <w:szCs w:val="24"/>
                <w:lang w:val="en-US" w:eastAsia="zh-CN"/>
              </w:rPr>
              <w:t>ABS</w:t>
            </w:r>
            <w:r>
              <w:rPr>
                <w:rFonts w:hint="eastAsia" w:ascii="方正公文楷体" w:hAnsi="方正公文楷体" w:eastAsia="方正公文楷体" w:cs="方正公文楷体"/>
                <w:b w:val="0"/>
                <w:bCs w:val="0"/>
                <w:sz w:val="24"/>
                <w:szCs w:val="24"/>
              </w:rPr>
              <w:t>、高强度航空铝及不锈钢组成，车体表面抑菌处理，方便清洁，耐受酒精、洗必泰、施康等医院常用消毒剂擦拭消毒，抗菌率≥90%；</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DE7AC0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58918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3FE044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5EEA69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6C5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748668C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C3E3E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color w:val="000000"/>
                <w:sz w:val="24"/>
                <w:szCs w:val="24"/>
              </w:rPr>
              <w:t>键盘托</w:t>
            </w:r>
          </w:p>
        </w:tc>
        <w:tc>
          <w:tcPr>
            <w:tcW w:w="4011" w:type="dxa"/>
            <w:tcBorders>
              <w:top w:val="single" w:color="auto" w:sz="4" w:space="0"/>
              <w:left w:val="single" w:color="auto" w:sz="4" w:space="0"/>
              <w:bottom w:val="single" w:color="auto" w:sz="4" w:space="0"/>
              <w:right w:val="single" w:color="auto" w:sz="4" w:space="0"/>
            </w:tcBorders>
            <w:noWrap w:val="0"/>
            <w:vAlign w:val="top"/>
          </w:tcPr>
          <w:p w14:paraId="7CBD3D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color w:val="000000"/>
                <w:sz w:val="24"/>
                <w:szCs w:val="24"/>
              </w:rPr>
              <w:t>台面内隐藏键盘托盘，完全隐藏到台面内部，使用时可从台面内拉出；</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BA4BD0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F8D934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04B925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FCBFFA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5B5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484F148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63D4F1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鼠标键盘</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5D9759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防水抗菌键盘×1、抗菌</w:t>
            </w:r>
            <w:r>
              <w:rPr>
                <w:rFonts w:hint="eastAsia" w:ascii="方正公文楷体" w:hAnsi="方正公文楷体" w:eastAsia="方正公文楷体" w:cs="方正公文楷体"/>
                <w:b w:val="0"/>
                <w:bCs w:val="0"/>
                <w:color w:val="4F81BD" w:themeColor="accent1"/>
                <w:sz w:val="24"/>
                <w:szCs w:val="24"/>
                <w:lang w:val="en-US" w:eastAsia="zh-CN"/>
              </w:rPr>
              <w:t>无线</w:t>
            </w:r>
            <w:r>
              <w:rPr>
                <w:rFonts w:hint="eastAsia" w:ascii="方正公文楷体" w:hAnsi="方正公文楷体" w:eastAsia="方正公文楷体" w:cs="方正公文楷体"/>
                <w:b w:val="0"/>
                <w:bCs w:val="0"/>
                <w:sz w:val="24"/>
                <w:szCs w:val="24"/>
              </w:rPr>
              <w:t>鼠标×1，键盘膜×1；</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1CAB47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73B6AC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411208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ECCCBD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F39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596D4EF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75C2DFE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线缆隐藏</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491C36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整车线缆隐藏式设计（包含显示器电源线、数据线等），车体线缆无外露；</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C687BD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9805E3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DACAC3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ACBAAF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A58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5444BAD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1B8E5D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kern w:val="2"/>
                <w:sz w:val="24"/>
                <w:szCs w:val="24"/>
                <w:highlight w:val="green"/>
                <w:lang w:val="en-US" w:eastAsia="zh-CN" w:bidi="ar-SA"/>
              </w:rPr>
            </w:pPr>
            <w:r>
              <w:rPr>
                <w:rFonts w:hint="eastAsia" w:ascii="方正公文楷体" w:hAnsi="方正公文楷体" w:eastAsia="方正公文楷体" w:cs="方正公文楷体"/>
                <w:b w:val="0"/>
                <w:bCs w:val="0"/>
                <w:color w:val="000000"/>
                <w:sz w:val="24"/>
                <w:szCs w:val="24"/>
                <w:highlight w:val="none"/>
                <w:lang w:val="en-US" w:eastAsia="zh-CN"/>
              </w:rPr>
              <w:t>立柱升降</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0B684B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kern w:val="2"/>
                <w:sz w:val="24"/>
                <w:szCs w:val="24"/>
                <w:highlight w:val="green"/>
                <w:lang w:val="en-US" w:eastAsia="zh-CN" w:bidi="ar-SA"/>
              </w:rPr>
            </w:pPr>
            <w:r>
              <w:rPr>
                <w:rFonts w:hint="eastAsia" w:ascii="方正公文楷体" w:hAnsi="方正公文楷体" w:eastAsia="方正公文楷体" w:cs="方正公文楷体"/>
                <w:b w:val="0"/>
                <w:bCs w:val="0"/>
                <w:color w:val="000000"/>
                <w:sz w:val="24"/>
                <w:szCs w:val="24"/>
                <w:highlight w:val="none"/>
                <w:lang w:val="en-US" w:eastAsia="zh-CN"/>
              </w:rPr>
              <w:t>铝合金升降立柱，采用气动升降方式，支持台面升降≥30cm</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F37EFB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964D78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B71E74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F7F846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E28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20F23AB1">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4792775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kern w:val="2"/>
                <w:sz w:val="24"/>
                <w:szCs w:val="24"/>
                <w:highlight w:val="green"/>
                <w:lang w:val="en-US" w:eastAsia="zh-CN" w:bidi="ar-SA"/>
              </w:rPr>
            </w:pPr>
            <w:r>
              <w:rPr>
                <w:rFonts w:hint="eastAsia" w:ascii="方正公文楷体" w:hAnsi="方正公文楷体" w:eastAsia="方正公文楷体" w:cs="方正公文楷体"/>
                <w:b w:val="0"/>
                <w:bCs w:val="0"/>
                <w:color w:val="000000"/>
                <w:sz w:val="24"/>
                <w:szCs w:val="24"/>
              </w:rPr>
              <w:t>显示器固定支架</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3E8E81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kern w:val="2"/>
                <w:sz w:val="24"/>
                <w:szCs w:val="24"/>
                <w:highlight w:val="green"/>
                <w:lang w:val="en-US" w:eastAsia="zh-CN" w:bidi="ar-SA"/>
              </w:rPr>
            </w:pPr>
            <w:r>
              <w:rPr>
                <w:rFonts w:hint="eastAsia" w:ascii="方正公文楷体" w:hAnsi="方正公文楷体" w:eastAsia="方正公文楷体" w:cs="方正公文楷体"/>
                <w:b w:val="0"/>
                <w:bCs w:val="0"/>
                <w:color w:val="000000"/>
                <w:sz w:val="24"/>
                <w:szCs w:val="24"/>
                <w:highlight w:val="none"/>
                <w:lang w:val="en-US" w:eastAsia="zh-CN" w:bidi="ar-SA"/>
              </w:rPr>
              <w:t>水平左旋转≥90°，水平右旋转≥180°，支持显示器升降，升降范围≥120mm；</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63ACC0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13080D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2B0BB9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5EFECA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688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4C43CFF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1E4A02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kern w:val="2"/>
                <w:sz w:val="24"/>
                <w:szCs w:val="24"/>
                <w:highlight w:val="green"/>
                <w:lang w:val="en-US" w:eastAsia="zh-CN" w:bidi="ar-SA"/>
              </w:rPr>
            </w:pPr>
            <w:r>
              <w:rPr>
                <w:rFonts w:hint="eastAsia" w:ascii="方正公文楷体" w:hAnsi="方正公文楷体" w:eastAsia="方正公文楷体" w:cs="方正公文楷体"/>
                <w:b w:val="0"/>
                <w:bCs w:val="0"/>
                <w:sz w:val="24"/>
                <w:szCs w:val="24"/>
              </w:rPr>
              <w:t>抽屉</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17B87B3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kern w:val="2"/>
                <w:sz w:val="24"/>
                <w:szCs w:val="24"/>
                <w:highlight w:val="green"/>
                <w:lang w:val="en-US" w:eastAsia="zh-CN" w:bidi="ar-SA"/>
              </w:rPr>
            </w:pPr>
            <w:r>
              <w:rPr>
                <w:rFonts w:hint="eastAsia" w:ascii="方正公文楷体" w:hAnsi="方正公文楷体" w:eastAsia="方正公文楷体" w:cs="方正公文楷体"/>
                <w:b w:val="0"/>
                <w:bCs w:val="0"/>
                <w:color w:val="000000"/>
                <w:sz w:val="24"/>
                <w:szCs w:val="24"/>
              </w:rPr>
              <w:t>抽屉插片式分区，可放置不同高度的耗材和工具；≥</w:t>
            </w:r>
            <w:r>
              <w:rPr>
                <w:rFonts w:hint="eastAsia" w:ascii="方正公文楷体" w:hAnsi="方正公文楷体" w:eastAsia="方正公文楷体" w:cs="方正公文楷体"/>
                <w:b w:val="0"/>
                <w:bCs w:val="0"/>
                <w:color w:val="000000"/>
                <w:sz w:val="24"/>
                <w:szCs w:val="24"/>
                <w:lang w:val="en-US" w:eastAsia="zh-CN"/>
              </w:rPr>
              <w:t>2</w:t>
            </w:r>
            <w:r>
              <w:rPr>
                <w:rFonts w:hint="eastAsia" w:ascii="方正公文楷体" w:hAnsi="方正公文楷体" w:eastAsia="方正公文楷体" w:cs="方正公文楷体"/>
                <w:b w:val="0"/>
                <w:bCs w:val="0"/>
                <w:color w:val="000000"/>
                <w:sz w:val="24"/>
                <w:szCs w:val="24"/>
              </w:rPr>
              <w:t>层抽屉；</w:t>
            </w:r>
            <w:r>
              <w:rPr>
                <w:rFonts w:hint="eastAsia" w:ascii="方正公文楷体" w:hAnsi="方正公文楷体" w:eastAsia="方正公文楷体" w:cs="方正公文楷体"/>
                <w:b w:val="0"/>
                <w:bCs w:val="0"/>
                <w:sz w:val="24"/>
                <w:szCs w:val="24"/>
              </w:rPr>
              <w:t>（后期根据需求，自由装配）</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7CA0F2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D91DCA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4DB887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9ACB91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41D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2FAEFFFE">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33887A24">
            <w:pPr>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auto"/>
                <w:kern w:val="2"/>
                <w:sz w:val="24"/>
                <w:szCs w:val="24"/>
                <w:highlight w:val="green"/>
                <w:lang w:val="en-US" w:eastAsia="zh-CN" w:bidi="ar-SA"/>
              </w:rPr>
            </w:pPr>
            <w:r>
              <w:rPr>
                <w:rFonts w:hint="eastAsia" w:ascii="方正公文楷体" w:hAnsi="方正公文楷体" w:eastAsia="方正公文楷体" w:cs="方正公文楷体"/>
                <w:b w:val="0"/>
                <w:bCs w:val="0"/>
                <w:sz w:val="24"/>
                <w:szCs w:val="24"/>
              </w:rPr>
              <w:t>脚轮</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1873E19B">
            <w:pPr>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auto"/>
                <w:kern w:val="2"/>
                <w:sz w:val="24"/>
                <w:szCs w:val="24"/>
                <w:highlight w:val="green"/>
                <w:lang w:val="en-US" w:eastAsia="zh-CN" w:bidi="ar-SA"/>
              </w:rPr>
            </w:pPr>
            <w:r>
              <w:rPr>
                <w:rFonts w:hint="eastAsia" w:ascii="方正公文楷体" w:hAnsi="方正公文楷体" w:eastAsia="方正公文楷体" w:cs="方正公文楷体"/>
                <w:b w:val="0"/>
                <w:bCs w:val="0"/>
                <w:sz w:val="24"/>
                <w:szCs w:val="24"/>
              </w:rPr>
              <w:t>4个医疗级万向脚轮；</w:t>
            </w:r>
            <w:r>
              <w:rPr>
                <w:rFonts w:hint="eastAsia" w:ascii="方正公文楷体" w:hAnsi="方正公文楷体" w:eastAsia="方正公文楷体" w:cs="方正公文楷体"/>
                <w:b w:val="0"/>
                <w:bCs w:val="0"/>
                <w:color w:val="000000"/>
                <w:sz w:val="24"/>
                <w:szCs w:val="24"/>
              </w:rPr>
              <w:t>带脚踏式刹车功能，超静音、防滑、防缠绕脚轮，单个脚轮能承载50kg以上；</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DDAB00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F7294A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0BE35E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BB0EAF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326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23AAC841">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7517FB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配件</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315E828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外挂垃圾储物≥</w:t>
            </w:r>
            <w:r>
              <w:rPr>
                <w:rFonts w:hint="eastAsia" w:ascii="方正公文楷体" w:hAnsi="方正公文楷体" w:eastAsia="方正公文楷体" w:cs="方正公文楷体"/>
                <w:b w:val="0"/>
                <w:bCs w:val="0"/>
                <w:sz w:val="24"/>
                <w:szCs w:val="24"/>
                <w:lang w:val="en-US" w:eastAsia="zh-CN"/>
              </w:rPr>
              <w:t>4</w:t>
            </w:r>
            <w:r>
              <w:rPr>
                <w:rFonts w:hint="eastAsia" w:ascii="方正公文楷体" w:hAnsi="方正公文楷体" w:eastAsia="方正公文楷体" w:cs="方正公文楷体"/>
                <w:b w:val="0"/>
                <w:bCs w:val="0"/>
                <w:sz w:val="24"/>
                <w:szCs w:val="24"/>
              </w:rPr>
              <w:t>升；多功能置物盒*2,可同时兼容锐器盒放置架、手消液放置架、剪刀盒等，可随推车移动；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44A80B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10BADE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5E14D2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53E935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E31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157A492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0ECE24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highlight w:val="none"/>
                <w:lang w:val="en-US" w:eastAsia="zh-CN" w:bidi="ar-SA"/>
              </w:rPr>
            </w:pPr>
            <w:r>
              <w:rPr>
                <w:rFonts w:hint="eastAsia" w:ascii="方正公文楷体" w:hAnsi="方正公文楷体" w:eastAsia="方正公文楷体" w:cs="方正公文楷体"/>
                <w:b w:val="0"/>
                <w:bCs w:val="0"/>
                <w:sz w:val="24"/>
                <w:szCs w:val="24"/>
                <w:highlight w:val="none"/>
                <w:lang w:val="en-US" w:eastAsia="zh-CN"/>
              </w:rPr>
              <w:t>座椅</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697074F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highlight w:val="none"/>
                <w:lang w:val="en-US" w:eastAsia="zh-CN" w:bidi="ar-SA"/>
              </w:rPr>
            </w:pPr>
            <w:r>
              <w:rPr>
                <w:rFonts w:hint="eastAsia" w:ascii="方正公文楷体" w:hAnsi="方正公文楷体" w:eastAsia="方正公文楷体" w:cs="方正公文楷体"/>
                <w:b w:val="0"/>
                <w:bCs w:val="0"/>
                <w:sz w:val="24"/>
                <w:szCs w:val="24"/>
                <w:highlight w:val="none"/>
                <w:lang w:val="en-US" w:eastAsia="zh-CN"/>
              </w:rPr>
              <w:t>便携式座椅，可叠放/悬挂于推车上</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2BDE24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C84D19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D869D3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76AF2A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364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301FB89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41F81B8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底座</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10A977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底座高压一体成型，无缝无组装设计，承重和耐压功能强，要求承重≥80kg，双脚避位设计；</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F6F2A8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9A1062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095257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1F43F7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0D6F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restart"/>
            <w:tcBorders>
              <w:left w:val="single" w:color="auto" w:sz="4" w:space="0"/>
              <w:right w:val="single" w:color="auto" w:sz="4" w:space="0"/>
            </w:tcBorders>
            <w:noWrap w:val="0"/>
            <w:vAlign w:val="center"/>
          </w:tcPr>
          <w:p w14:paraId="0307DDF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移动护理推车</w:t>
            </w:r>
            <w:r>
              <w:rPr>
                <w:rFonts w:hint="eastAsia" w:ascii="方正公文楷体" w:hAnsi="方正公文楷体" w:eastAsia="方正公文楷体" w:cs="方正公文楷体"/>
                <w:b w:val="0"/>
                <w:bCs w:val="0"/>
                <w:sz w:val="24"/>
                <w:szCs w:val="24"/>
                <w:lang w:val="en-US" w:eastAsia="zh-CN"/>
              </w:rPr>
              <w:t>一体机</w:t>
            </w:r>
            <w:r>
              <w:rPr>
                <w:rFonts w:hint="eastAsia" w:ascii="方正公文楷体" w:hAnsi="方正公文楷体" w:eastAsia="方正公文楷体" w:cs="方正公文楷体"/>
                <w:b w:val="0"/>
                <w:bCs w:val="0"/>
                <w:sz w:val="24"/>
                <w:szCs w:val="24"/>
              </w:rPr>
              <w:t>（数量</w:t>
            </w:r>
            <w:r>
              <w:rPr>
                <w:rFonts w:hint="eastAsia" w:ascii="方正公文楷体" w:hAnsi="方正公文楷体" w:eastAsia="方正公文楷体" w:cs="方正公文楷体"/>
                <w:b w:val="0"/>
                <w:bCs w:val="0"/>
                <w:sz w:val="24"/>
                <w:szCs w:val="24"/>
                <w:lang w:val="en-US" w:eastAsia="zh-CN"/>
              </w:rPr>
              <w:t>42</w:t>
            </w:r>
            <w:r>
              <w:rPr>
                <w:rFonts w:hint="eastAsia" w:ascii="方正公文楷体" w:hAnsi="方正公文楷体" w:eastAsia="方正公文楷体" w:cs="方正公文楷体"/>
                <w:b w:val="0"/>
                <w:bCs w:val="0"/>
                <w:sz w:val="24"/>
                <w:szCs w:val="24"/>
              </w:rPr>
              <w:t>台）</w:t>
            </w: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4ED86D9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CPU核芯</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23A8D6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酷睿Intel i5-1</w:t>
            </w:r>
            <w:r>
              <w:rPr>
                <w:rFonts w:hint="eastAsia" w:ascii="方正公文楷体" w:hAnsi="方正公文楷体" w:eastAsia="方正公文楷体" w:cs="方正公文楷体"/>
                <w:b w:val="0"/>
                <w:bCs w:val="0"/>
                <w:sz w:val="24"/>
                <w:szCs w:val="24"/>
                <w:lang w:val="en-US" w:eastAsia="zh-CN"/>
              </w:rPr>
              <w:t>2</w:t>
            </w:r>
            <w:r>
              <w:rPr>
                <w:rFonts w:hint="eastAsia" w:ascii="方正公文楷体" w:hAnsi="方正公文楷体" w:eastAsia="方正公文楷体" w:cs="方正公文楷体"/>
                <w:b w:val="0"/>
                <w:bCs w:val="0"/>
                <w:sz w:val="24"/>
                <w:szCs w:val="24"/>
              </w:rPr>
              <w:t>代或以上；</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ADDEAE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289ACA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632DF3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D1E270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277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58E5FA5E">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7D6AF5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内存</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04C3153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≥16GB；</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14DDF5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EE8230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448DB5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49F6FC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0934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57B66D39">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1522CE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硬盘</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0AE262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固态硬盘≥512GB，主机具备硬盘支架防震结构设计，适合医护人员高频移动应用。（提供抗震结构设计证明文件，申请人需为投标产品生产厂家）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D1B583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36F735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8C3DD6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0A2D84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224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31C1698F">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7737297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无线网络</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0DA64E6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外置 WiFi 2x2MIMO天线，支持2.4G/5G双频</w:t>
            </w:r>
            <w:r>
              <w:rPr>
                <w:rFonts w:hint="eastAsia" w:ascii="方正公文楷体" w:hAnsi="方正公文楷体" w:eastAsia="方正公文楷体" w:cs="方正公文楷体"/>
                <w:b w:val="0"/>
                <w:bCs w:val="0"/>
                <w:sz w:val="24"/>
                <w:szCs w:val="24"/>
                <w:lang w:val="en-US" w:eastAsia="zh-CN"/>
              </w:rPr>
              <w:t>等主流</w:t>
            </w:r>
            <w:r>
              <w:rPr>
                <w:rFonts w:hint="eastAsia" w:ascii="方正公文楷体" w:hAnsi="方正公文楷体" w:eastAsia="方正公文楷体" w:cs="方正公文楷体"/>
                <w:b w:val="0"/>
                <w:bCs w:val="0"/>
                <w:sz w:val="24"/>
                <w:szCs w:val="24"/>
              </w:rPr>
              <w:t>网络；在医院无线环境可无缝漫游，可与医院无线局域网络匹配；</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76523A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72521A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B940DC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C43C8A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A8A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0E96ACD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6E74B5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以太网端口</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631220A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lang w:val="en-US" w:eastAsia="zh-CN"/>
              </w:rPr>
              <w:t>支持</w:t>
            </w:r>
            <w:r>
              <w:rPr>
                <w:rFonts w:hint="eastAsia" w:ascii="方正公文楷体" w:hAnsi="方正公文楷体" w:eastAsia="方正公文楷体" w:cs="方正公文楷体"/>
                <w:b w:val="0"/>
                <w:bCs w:val="0"/>
                <w:sz w:val="24"/>
                <w:szCs w:val="24"/>
              </w:rPr>
              <w:t xml:space="preserve">10/100/1000Mbps </w:t>
            </w:r>
            <w:r>
              <w:rPr>
                <w:rFonts w:hint="eastAsia" w:ascii="方正公文楷体" w:hAnsi="方正公文楷体" w:eastAsia="方正公文楷体" w:cs="方正公文楷体"/>
                <w:b w:val="0"/>
                <w:bCs w:val="0"/>
                <w:sz w:val="24"/>
                <w:szCs w:val="24"/>
                <w:lang w:val="en-US" w:eastAsia="zh-CN"/>
              </w:rPr>
              <w:t>≥</w:t>
            </w:r>
            <w:r>
              <w:rPr>
                <w:rFonts w:hint="eastAsia" w:ascii="方正公文楷体" w:hAnsi="方正公文楷体" w:eastAsia="方正公文楷体" w:cs="方正公文楷体"/>
                <w:b w:val="0"/>
                <w:bCs w:val="0"/>
                <w:sz w:val="24"/>
                <w:szCs w:val="24"/>
              </w:rPr>
              <w:t xml:space="preserve"> 1；</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42F717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EC382F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A995A6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234A87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2EC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6320AB1F">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5E89197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外部接口</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4F944895">
            <w:pPr>
              <w:keepNext w:val="0"/>
              <w:keepLines w:val="0"/>
              <w:pageBreakBefore w:val="0"/>
              <w:widowControl w:val="0"/>
              <w:tabs>
                <w:tab w:val="center" w:pos="3350"/>
              </w:tabs>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USB2.0 ≥2个，USB3.0 ≥2个，RJ45×1,HDMI x 1；</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DF45D7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6DB7F2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4E5F9F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B8D501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697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62CACA1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27E6C2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操作系统</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713525B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支持Windows10以上及国产操作系统 ；</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12A359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DA5336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B903E3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09C644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451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093B324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17B86E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显示</w:t>
            </w:r>
            <w:r>
              <w:rPr>
                <w:rFonts w:hint="eastAsia" w:ascii="方正公文楷体" w:hAnsi="方正公文楷体" w:eastAsia="方正公文楷体" w:cs="方正公文楷体"/>
                <w:b w:val="0"/>
                <w:bCs w:val="0"/>
                <w:sz w:val="24"/>
                <w:szCs w:val="24"/>
                <w:lang w:val="en-US" w:eastAsia="zh-CN"/>
              </w:rPr>
              <w:t>参数</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2A2AB4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≥23.8英寸；</w:t>
            </w:r>
            <w:r>
              <w:rPr>
                <w:rFonts w:hint="eastAsia" w:ascii="方正公文楷体" w:hAnsi="方正公文楷体" w:eastAsia="方正公文楷体" w:cs="方正公文楷体"/>
                <w:b w:val="0"/>
                <w:bCs w:val="0"/>
                <w:sz w:val="24"/>
                <w:szCs w:val="24"/>
              </w:rPr>
              <w:t>宽屏16:9 LED背光液晶显示器,VGA,HDMI接口,分辨率≥1920×1080，提供所需高清信号转换线缆；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DEE569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E3A708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E54AC7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91C635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4C1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restart"/>
            <w:tcBorders>
              <w:left w:val="single" w:color="auto" w:sz="4" w:space="0"/>
              <w:right w:val="single" w:color="auto" w:sz="4" w:space="0"/>
            </w:tcBorders>
            <w:noWrap w:val="0"/>
            <w:vAlign w:val="center"/>
          </w:tcPr>
          <w:p w14:paraId="1800C6A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rPr>
              <w:t>移动护理推车电池（数量</w:t>
            </w:r>
            <w:r>
              <w:rPr>
                <w:rFonts w:hint="eastAsia" w:ascii="方正公文楷体" w:hAnsi="方正公文楷体" w:eastAsia="方正公文楷体" w:cs="方正公文楷体"/>
                <w:b w:val="0"/>
                <w:bCs w:val="0"/>
                <w:sz w:val="24"/>
                <w:szCs w:val="24"/>
                <w:lang w:val="en-US" w:eastAsia="zh-CN"/>
              </w:rPr>
              <w:t>42</w:t>
            </w:r>
            <w:r>
              <w:rPr>
                <w:rFonts w:hint="eastAsia" w:ascii="方正公文楷体" w:hAnsi="方正公文楷体" w:eastAsia="方正公文楷体" w:cs="方正公文楷体"/>
                <w:b w:val="0"/>
                <w:bCs w:val="0"/>
                <w:sz w:val="24"/>
                <w:szCs w:val="24"/>
              </w:rPr>
              <w:t>台）</w:t>
            </w: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03DCAE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电池放置位置</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2B7BA7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嵌入隐藏在车体内，维修时方便取出；</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C5FE56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E41718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F22CDE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88AC1B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B3E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7A36311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3C92B4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电池电芯</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0DFD1A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采用安全性高的磷酸铁锂材质；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9777EC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45A2D1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CE08B9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7B8C49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7A0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15730513">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730990F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循环次数</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72C88B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≥2000次；</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39373E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5116F9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D7651E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61BF66A">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B48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5FFC3409">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36FE5D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充电时间</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18C927E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充满电时间≤5.5小时；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2F3770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FB92B8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07DEC8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E3E8C8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816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590730BF">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2CF81F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使用时间</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1FE9873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连续使用≥8小时 ；</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E6C7E0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46C161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B754E6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6599D5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4D1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3EF0B48E">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4E9D8A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电源管理</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2F55B6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sz w:val="24"/>
                <w:szCs w:val="24"/>
              </w:rPr>
              <w:t>为保证电源安全稳定性，投标产品需具备医疗电源控制系统通过充放电管理模块对电池进行充电或放电管理。（提供医疗电源控制系统证明文件，申请人需为投标产品生产厂家）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C5DFC0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58C67D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776CF9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D59009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0E4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1170" w:type="dxa"/>
            <w:vMerge w:val="continue"/>
            <w:tcBorders>
              <w:left w:val="single" w:color="auto" w:sz="4" w:space="0"/>
              <w:right w:val="single" w:color="auto" w:sz="4" w:space="0"/>
            </w:tcBorders>
            <w:noWrap w:val="0"/>
            <w:vAlign w:val="center"/>
          </w:tcPr>
          <w:p w14:paraId="4407C527">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3219DD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漏电保护</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7BFA7F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具有外壳对地漏电电流保护、电击保护功能；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8DCD3A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5C15EF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FD04D4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78AE71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EAC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258D25C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shd w:val="clear"/>
            <w:noWrap w:val="0"/>
            <w:vAlign w:val="center"/>
          </w:tcPr>
          <w:p w14:paraId="5636B9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电流电压保护</w:t>
            </w:r>
          </w:p>
        </w:tc>
        <w:tc>
          <w:tcPr>
            <w:tcW w:w="4011" w:type="dxa"/>
            <w:tcBorders>
              <w:top w:val="single" w:color="auto" w:sz="4" w:space="0"/>
              <w:left w:val="single" w:color="auto" w:sz="4" w:space="0"/>
              <w:bottom w:val="single" w:color="auto" w:sz="4" w:space="0"/>
              <w:right w:val="single" w:color="auto" w:sz="4" w:space="0"/>
            </w:tcBorders>
            <w:shd w:val="clear"/>
            <w:noWrap w:val="0"/>
            <w:vAlign w:val="center"/>
          </w:tcPr>
          <w:p w14:paraId="3E990F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kern w:val="2"/>
                <w:sz w:val="24"/>
                <w:szCs w:val="24"/>
                <w:lang w:val="en-US" w:eastAsia="zh-CN" w:bidi="ar-SA"/>
              </w:rPr>
            </w:pPr>
            <w:r>
              <w:rPr>
                <w:rFonts w:hint="eastAsia" w:ascii="方正公文楷体" w:hAnsi="方正公文楷体" w:eastAsia="方正公文楷体" w:cs="方正公文楷体"/>
                <w:b w:val="0"/>
                <w:bCs w:val="0"/>
                <w:color w:val="000000"/>
                <w:sz w:val="24"/>
                <w:szCs w:val="24"/>
              </w:rPr>
              <w:t>具有过压、过流、欠压、过充、过放保护功能；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EA495A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5CED7B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DC8CB9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53B130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A6F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restart"/>
            <w:tcBorders>
              <w:left w:val="single" w:color="auto" w:sz="4" w:space="0"/>
              <w:right w:val="single" w:color="auto" w:sz="4" w:space="0"/>
            </w:tcBorders>
            <w:noWrap w:val="0"/>
            <w:vAlign w:val="center"/>
          </w:tcPr>
          <w:p w14:paraId="527F75E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r>
              <w:rPr>
                <w:rFonts w:hint="eastAsia" w:ascii="方正公文楷体" w:hAnsi="方正公文楷体" w:eastAsia="方正公文楷体" w:cs="方正公文楷体"/>
                <w:b w:val="0"/>
                <w:bCs w:val="0"/>
                <w:sz w:val="24"/>
                <w:szCs w:val="24"/>
                <w:lang w:val="en-US" w:eastAsia="zh-CN"/>
              </w:rPr>
              <w:t>相关认证要求（征集反馈需提供相关认证报告扫描件）</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AC86D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sz w:val="24"/>
                <w:szCs w:val="24"/>
              </w:rPr>
            </w:pPr>
            <w:r>
              <w:rPr>
                <w:rFonts w:hint="eastAsia" w:ascii="方正公文楷体" w:hAnsi="方正公文楷体" w:eastAsia="方正公文楷体" w:cs="方正公文楷体"/>
                <w:b w:val="0"/>
                <w:bCs w:val="0"/>
                <w:sz w:val="24"/>
                <w:szCs w:val="24"/>
              </w:rPr>
              <w:t>医用环境</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022966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sz w:val="24"/>
                <w:szCs w:val="24"/>
              </w:rPr>
            </w:pPr>
            <w:r>
              <w:rPr>
                <w:rFonts w:hint="eastAsia" w:ascii="方正公文楷体" w:hAnsi="方正公文楷体" w:eastAsia="方正公文楷体" w:cs="方正公文楷体"/>
                <w:b w:val="0"/>
                <w:bCs w:val="0"/>
                <w:sz w:val="24"/>
                <w:szCs w:val="24"/>
              </w:rPr>
              <w:t>整车通过YY 9706.102-2021医用电气设备安全检测。（须提供第三方机构出具的医用电气设备安全检测证明复印件，检测型号必须与投标型号一致，其委托单位必须为投标产品原厂商）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BD0643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F938B4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E2519D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57A3C2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880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40F49DA7">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76C004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sz w:val="24"/>
                <w:szCs w:val="24"/>
              </w:rPr>
            </w:pPr>
            <w:r>
              <w:rPr>
                <w:rFonts w:hint="eastAsia" w:ascii="方正公文楷体" w:hAnsi="方正公文楷体" w:eastAsia="方正公文楷体" w:cs="方正公文楷体"/>
                <w:b w:val="0"/>
                <w:bCs w:val="0"/>
                <w:sz w:val="24"/>
                <w:szCs w:val="24"/>
              </w:rPr>
              <w:t>电池组安全</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76FE5A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sz w:val="24"/>
                <w:szCs w:val="24"/>
              </w:rPr>
            </w:pPr>
            <w:r>
              <w:rPr>
                <w:rFonts w:hint="eastAsia" w:ascii="方正公文楷体" w:hAnsi="方正公文楷体" w:eastAsia="方正公文楷体" w:cs="方正公文楷体"/>
                <w:b w:val="0"/>
                <w:bCs w:val="0"/>
                <w:sz w:val="24"/>
                <w:szCs w:val="24"/>
              </w:rPr>
              <w:t>整车电池通过GB 31241-2022便携式电池组安全检测。（须提供第三方机构出具的检测证明复印件，其委托单位必须为投标产品原厂商）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96CDFA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0651C6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5306CA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838924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3BC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70" w:type="dxa"/>
            <w:vMerge w:val="continue"/>
            <w:tcBorders>
              <w:left w:val="single" w:color="auto" w:sz="4" w:space="0"/>
              <w:right w:val="single" w:color="auto" w:sz="4" w:space="0"/>
            </w:tcBorders>
            <w:noWrap w:val="0"/>
            <w:vAlign w:val="center"/>
          </w:tcPr>
          <w:p w14:paraId="3E0DDF1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66CF4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sz w:val="24"/>
                <w:szCs w:val="24"/>
              </w:rPr>
            </w:pPr>
            <w:r>
              <w:rPr>
                <w:rFonts w:hint="eastAsia" w:ascii="方正公文楷体" w:hAnsi="方正公文楷体" w:eastAsia="方正公文楷体" w:cs="方正公文楷体"/>
                <w:b w:val="0"/>
                <w:bCs w:val="0"/>
                <w:sz w:val="24"/>
                <w:szCs w:val="24"/>
              </w:rPr>
              <w:t>防水防尘</w:t>
            </w:r>
          </w:p>
        </w:tc>
        <w:tc>
          <w:tcPr>
            <w:tcW w:w="4011" w:type="dxa"/>
            <w:tcBorders>
              <w:top w:val="single" w:color="auto" w:sz="4" w:space="0"/>
              <w:left w:val="single" w:color="auto" w:sz="4" w:space="0"/>
              <w:bottom w:val="single" w:color="auto" w:sz="4" w:space="0"/>
              <w:right w:val="single" w:color="auto" w:sz="4" w:space="0"/>
            </w:tcBorders>
            <w:noWrap w:val="0"/>
            <w:vAlign w:val="center"/>
          </w:tcPr>
          <w:p w14:paraId="6C99BD3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方正公文楷体" w:hAnsi="方正公文楷体" w:eastAsia="方正公文楷体" w:cs="方正公文楷体"/>
                <w:b w:val="0"/>
                <w:bCs w:val="0"/>
                <w:color w:val="000000"/>
                <w:sz w:val="24"/>
                <w:szCs w:val="24"/>
              </w:rPr>
            </w:pPr>
            <w:r>
              <w:rPr>
                <w:rFonts w:hint="eastAsia" w:ascii="方正公文楷体" w:hAnsi="方正公文楷体" w:eastAsia="方正公文楷体" w:cs="方正公文楷体"/>
                <w:b w:val="0"/>
                <w:bCs w:val="0"/>
                <w:sz w:val="24"/>
                <w:szCs w:val="24"/>
              </w:rPr>
              <w:t>整车通过防水防尘检测，级别不低于IP</w:t>
            </w:r>
            <w:r>
              <w:rPr>
                <w:rFonts w:hint="eastAsia" w:ascii="方正公文楷体" w:hAnsi="方正公文楷体" w:eastAsia="方正公文楷体" w:cs="方正公文楷体"/>
                <w:b w:val="0"/>
                <w:bCs w:val="0"/>
                <w:sz w:val="24"/>
                <w:szCs w:val="24"/>
                <w:lang w:val="en-US" w:eastAsia="zh-CN"/>
              </w:rPr>
              <w:t>4</w:t>
            </w:r>
            <w:r>
              <w:rPr>
                <w:rFonts w:hint="eastAsia" w:ascii="方正公文楷体" w:hAnsi="方正公文楷体" w:eastAsia="方正公文楷体" w:cs="方正公文楷体"/>
                <w:b w:val="0"/>
                <w:bCs w:val="0"/>
                <w:sz w:val="24"/>
                <w:szCs w:val="24"/>
              </w:rPr>
              <w:t>5。（须</w:t>
            </w:r>
            <w:bookmarkStart w:id="0" w:name="_GoBack"/>
            <w:bookmarkEnd w:id="0"/>
            <w:r>
              <w:rPr>
                <w:rFonts w:hint="eastAsia" w:ascii="方正公文楷体" w:hAnsi="方正公文楷体" w:eastAsia="方正公文楷体" w:cs="方正公文楷体"/>
                <w:b w:val="0"/>
                <w:bCs w:val="0"/>
                <w:sz w:val="24"/>
                <w:szCs w:val="24"/>
              </w:rPr>
              <w:t>提供第三方机构出具的防水防尘检测证明复印件，其委托单位必须为投标产品原厂商）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D10B06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FBD499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451960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8353C4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bl>
    <w:p w14:paraId="2411EF79">
      <w:pPr>
        <w:jc w:val="both"/>
        <w:rPr>
          <w:rFonts w:hint="eastAsia"/>
          <w:b/>
          <w:bCs/>
          <w:color w:val="auto"/>
          <w:lang w:val="en-US" w:eastAsia="zh-CN"/>
        </w:rPr>
      </w:pPr>
      <w:r>
        <w:rPr>
          <w:rFonts w:hint="eastAsia"/>
          <w:b/>
          <w:bCs/>
          <w:color w:val="auto"/>
          <w:lang w:val="en-US" w:eastAsia="zh-CN"/>
        </w:rPr>
        <w:t>备注：1、为保证临床科室使用，需提供不低于5%备机。□是    □否</w:t>
      </w:r>
    </w:p>
    <w:p w14:paraId="533D3DAC">
      <w:pPr>
        <w:jc w:val="both"/>
        <w:rPr>
          <w:rFonts w:hint="default"/>
          <w:b/>
          <w:bCs/>
          <w:color w:val="auto"/>
          <w:lang w:val="en-US" w:eastAsia="zh-CN"/>
        </w:rPr>
      </w:pPr>
      <w:r>
        <w:rPr>
          <w:rFonts w:hint="eastAsia"/>
          <w:b/>
          <w:bCs/>
          <w:color w:val="auto"/>
          <w:lang w:val="en-US" w:eastAsia="zh-CN"/>
        </w:rPr>
        <w:t>2、安徽是否有售后服务网点或驻点人员。□是     □否</w:t>
      </w:r>
    </w:p>
    <w:p w14:paraId="1241B4C3">
      <w:pPr>
        <w:spacing w:line="320" w:lineRule="exact"/>
        <w:rPr>
          <w:rFonts w:hint="eastAsia" w:ascii="仿宋" w:hAnsi="仿宋" w:eastAsia="仿宋"/>
          <w:b/>
          <w:szCs w:val="21"/>
        </w:rPr>
      </w:pPr>
    </w:p>
    <w:p w14:paraId="7FA994CD">
      <w:pPr>
        <w:spacing w:line="320" w:lineRule="exact"/>
        <w:rPr>
          <w:rFonts w:hint="eastAsia" w:ascii="仿宋" w:hAnsi="仿宋" w:eastAsia="仿宋"/>
          <w:b/>
          <w:szCs w:val="21"/>
        </w:rPr>
      </w:pPr>
    </w:p>
    <w:p w14:paraId="6EC882D9">
      <w:pPr>
        <w:spacing w:line="320" w:lineRule="exact"/>
        <w:rPr>
          <w:rFonts w:hint="eastAsia" w:ascii="仿宋" w:hAnsi="仿宋" w:eastAsia="仿宋"/>
          <w:b/>
          <w:szCs w:val="21"/>
        </w:rPr>
      </w:pPr>
    </w:p>
    <w:p w14:paraId="3EFCBB8A">
      <w:pPr>
        <w:spacing w:line="280" w:lineRule="exact"/>
        <w:rPr>
          <w:rFonts w:hint="default" w:ascii="仿宋" w:hAnsi="仿宋" w:eastAsia="仿宋"/>
          <w:b/>
          <w:bCs/>
          <w:szCs w:val="21"/>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公文楷体">
    <w:altName w:val="楷体_GB2312"/>
    <w:panose1 w:val="02000500000000000000"/>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docPartObj>
        <w:docPartGallery w:val="autotext"/>
      </w:docPartObj>
    </w:sdtPr>
    <w:sdtContent>
      <w:sdt>
        <w:sdtPr>
          <w:id w:val="171357217"/>
          <w:docPartObj>
            <w:docPartGallery w:val="autotext"/>
          </w:docPartObj>
        </w:sdtPr>
        <w:sdtContent>
          <w:p w14:paraId="2A08810D">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w:t>
            </w:r>
            <w:r>
              <w:rPr>
                <w:b/>
                <w:sz w:val="24"/>
                <w:szCs w:val="24"/>
              </w:rPr>
              <w:fldChar w:fldCharType="end"/>
            </w:r>
          </w:p>
        </w:sdtContent>
      </w:sdt>
    </w:sdtContent>
  </w:sdt>
  <w:p w14:paraId="5AC0D8F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9"/>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MwZWE0MjdkNmUyYzJlNjJmNTM0ODJjOTJiNjk2Y2I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FEC"/>
    <w:rsid w:val="00E0491B"/>
    <w:rsid w:val="00E04C87"/>
    <w:rsid w:val="00E12663"/>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6E2AF7"/>
    <w:rsid w:val="028C3AAC"/>
    <w:rsid w:val="02FD2A99"/>
    <w:rsid w:val="03162918"/>
    <w:rsid w:val="03250779"/>
    <w:rsid w:val="032A2E76"/>
    <w:rsid w:val="032F53C7"/>
    <w:rsid w:val="03C97D13"/>
    <w:rsid w:val="03D80B70"/>
    <w:rsid w:val="046F708F"/>
    <w:rsid w:val="047A164B"/>
    <w:rsid w:val="047C479E"/>
    <w:rsid w:val="04BE4ABB"/>
    <w:rsid w:val="04DC0C65"/>
    <w:rsid w:val="05144CD4"/>
    <w:rsid w:val="056B1321"/>
    <w:rsid w:val="058F7ED5"/>
    <w:rsid w:val="05A625A8"/>
    <w:rsid w:val="05B61689"/>
    <w:rsid w:val="064A2CE4"/>
    <w:rsid w:val="06A72333"/>
    <w:rsid w:val="06F66A9B"/>
    <w:rsid w:val="079C369B"/>
    <w:rsid w:val="07AF1FB4"/>
    <w:rsid w:val="07D72EEC"/>
    <w:rsid w:val="080C3738"/>
    <w:rsid w:val="081F2DB2"/>
    <w:rsid w:val="086253B7"/>
    <w:rsid w:val="086504F8"/>
    <w:rsid w:val="091329AD"/>
    <w:rsid w:val="09135C29"/>
    <w:rsid w:val="0A1730E8"/>
    <w:rsid w:val="0A203C23"/>
    <w:rsid w:val="0AB32F3C"/>
    <w:rsid w:val="0AC56166"/>
    <w:rsid w:val="0AD93162"/>
    <w:rsid w:val="0AFC6D92"/>
    <w:rsid w:val="0B1F4CC9"/>
    <w:rsid w:val="0B4418D4"/>
    <w:rsid w:val="0BBB58C2"/>
    <w:rsid w:val="0C0F5353"/>
    <w:rsid w:val="0C32096A"/>
    <w:rsid w:val="0C476F17"/>
    <w:rsid w:val="0C7E360B"/>
    <w:rsid w:val="0C820673"/>
    <w:rsid w:val="0C9B1482"/>
    <w:rsid w:val="0D485FCF"/>
    <w:rsid w:val="0D5D409D"/>
    <w:rsid w:val="0D86358A"/>
    <w:rsid w:val="0E0B2DA3"/>
    <w:rsid w:val="0EEF0F83"/>
    <w:rsid w:val="0F014E92"/>
    <w:rsid w:val="0F1E3A54"/>
    <w:rsid w:val="0F3C791F"/>
    <w:rsid w:val="0F966E56"/>
    <w:rsid w:val="0FE443F8"/>
    <w:rsid w:val="10551A84"/>
    <w:rsid w:val="105E5829"/>
    <w:rsid w:val="107D4AA0"/>
    <w:rsid w:val="10B05A5F"/>
    <w:rsid w:val="10FD56B0"/>
    <w:rsid w:val="11035FCE"/>
    <w:rsid w:val="11286FF8"/>
    <w:rsid w:val="11A33589"/>
    <w:rsid w:val="11C40F77"/>
    <w:rsid w:val="11CC15E8"/>
    <w:rsid w:val="11CC5345"/>
    <w:rsid w:val="12187C39"/>
    <w:rsid w:val="12374B2C"/>
    <w:rsid w:val="1238648A"/>
    <w:rsid w:val="12454614"/>
    <w:rsid w:val="124F493A"/>
    <w:rsid w:val="125A4762"/>
    <w:rsid w:val="12893951"/>
    <w:rsid w:val="12DE5A9C"/>
    <w:rsid w:val="13334A49"/>
    <w:rsid w:val="13611B4B"/>
    <w:rsid w:val="13753887"/>
    <w:rsid w:val="137B6A6E"/>
    <w:rsid w:val="138A39DE"/>
    <w:rsid w:val="13A80EEF"/>
    <w:rsid w:val="13C733D2"/>
    <w:rsid w:val="147D52F1"/>
    <w:rsid w:val="148F683D"/>
    <w:rsid w:val="14CF6BB1"/>
    <w:rsid w:val="15325208"/>
    <w:rsid w:val="155A79E0"/>
    <w:rsid w:val="15BD705A"/>
    <w:rsid w:val="15D10D8D"/>
    <w:rsid w:val="15E33C23"/>
    <w:rsid w:val="16483D84"/>
    <w:rsid w:val="168C408F"/>
    <w:rsid w:val="16C25DC9"/>
    <w:rsid w:val="16CC4399"/>
    <w:rsid w:val="17091AEE"/>
    <w:rsid w:val="17461E90"/>
    <w:rsid w:val="177719DE"/>
    <w:rsid w:val="177C4762"/>
    <w:rsid w:val="177F0D6A"/>
    <w:rsid w:val="17FA25E5"/>
    <w:rsid w:val="1899778B"/>
    <w:rsid w:val="18D4649C"/>
    <w:rsid w:val="18D56FD4"/>
    <w:rsid w:val="193F0899"/>
    <w:rsid w:val="199858A6"/>
    <w:rsid w:val="1A0260CE"/>
    <w:rsid w:val="1A652E65"/>
    <w:rsid w:val="1A7937AC"/>
    <w:rsid w:val="1A8F6DD6"/>
    <w:rsid w:val="1AC057F3"/>
    <w:rsid w:val="1AD2194F"/>
    <w:rsid w:val="1B101758"/>
    <w:rsid w:val="1B9F31F9"/>
    <w:rsid w:val="1BD75F88"/>
    <w:rsid w:val="1BD91B12"/>
    <w:rsid w:val="1BEF2AA3"/>
    <w:rsid w:val="1C9571A6"/>
    <w:rsid w:val="1D2B387D"/>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33022B"/>
    <w:rsid w:val="22421C49"/>
    <w:rsid w:val="22426CD1"/>
    <w:rsid w:val="229131B3"/>
    <w:rsid w:val="22E90E34"/>
    <w:rsid w:val="22FB3ADB"/>
    <w:rsid w:val="23035A4C"/>
    <w:rsid w:val="231D1DD1"/>
    <w:rsid w:val="233B51A7"/>
    <w:rsid w:val="235130BE"/>
    <w:rsid w:val="23EE25BB"/>
    <w:rsid w:val="23F938FE"/>
    <w:rsid w:val="25052E0F"/>
    <w:rsid w:val="25552E7D"/>
    <w:rsid w:val="25720D38"/>
    <w:rsid w:val="25CB2A80"/>
    <w:rsid w:val="25E05DF6"/>
    <w:rsid w:val="263225F6"/>
    <w:rsid w:val="264C3185"/>
    <w:rsid w:val="270F167F"/>
    <w:rsid w:val="279A1481"/>
    <w:rsid w:val="27E16F51"/>
    <w:rsid w:val="27FD740B"/>
    <w:rsid w:val="28102089"/>
    <w:rsid w:val="28632016"/>
    <w:rsid w:val="2873238A"/>
    <w:rsid w:val="28C732A1"/>
    <w:rsid w:val="28CA467C"/>
    <w:rsid w:val="28F516D7"/>
    <w:rsid w:val="29194CF5"/>
    <w:rsid w:val="295E6B72"/>
    <w:rsid w:val="29977838"/>
    <w:rsid w:val="29EE439A"/>
    <w:rsid w:val="2A1C3CD3"/>
    <w:rsid w:val="2AC8553F"/>
    <w:rsid w:val="2B914D75"/>
    <w:rsid w:val="2BE07BE3"/>
    <w:rsid w:val="2C2C2704"/>
    <w:rsid w:val="2C6E3570"/>
    <w:rsid w:val="2CAF5180"/>
    <w:rsid w:val="2CB30A73"/>
    <w:rsid w:val="2CBF2091"/>
    <w:rsid w:val="2D286742"/>
    <w:rsid w:val="2D542A2A"/>
    <w:rsid w:val="2D656A67"/>
    <w:rsid w:val="2E19748C"/>
    <w:rsid w:val="2E4209D9"/>
    <w:rsid w:val="2E616B37"/>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F1D7B"/>
    <w:rsid w:val="31A11D04"/>
    <w:rsid w:val="31CC76FF"/>
    <w:rsid w:val="31F172F6"/>
    <w:rsid w:val="321670D7"/>
    <w:rsid w:val="32905CAB"/>
    <w:rsid w:val="32B51A27"/>
    <w:rsid w:val="32FA6504"/>
    <w:rsid w:val="330A11E9"/>
    <w:rsid w:val="335210D7"/>
    <w:rsid w:val="33D54BEA"/>
    <w:rsid w:val="34E12746"/>
    <w:rsid w:val="355A5092"/>
    <w:rsid w:val="356C1CB1"/>
    <w:rsid w:val="357E5017"/>
    <w:rsid w:val="358D3127"/>
    <w:rsid w:val="35A119F9"/>
    <w:rsid w:val="35E52E60"/>
    <w:rsid w:val="362339C7"/>
    <w:rsid w:val="363B2715"/>
    <w:rsid w:val="367F3DA1"/>
    <w:rsid w:val="36AC7731"/>
    <w:rsid w:val="36B93792"/>
    <w:rsid w:val="36F1454D"/>
    <w:rsid w:val="37712166"/>
    <w:rsid w:val="37CF3484"/>
    <w:rsid w:val="37D710BC"/>
    <w:rsid w:val="37E17463"/>
    <w:rsid w:val="384637F8"/>
    <w:rsid w:val="38DC31DA"/>
    <w:rsid w:val="38E97418"/>
    <w:rsid w:val="39452127"/>
    <w:rsid w:val="3A2B484E"/>
    <w:rsid w:val="3A636FDD"/>
    <w:rsid w:val="3A7537C9"/>
    <w:rsid w:val="3A9C74FA"/>
    <w:rsid w:val="3B126CF0"/>
    <w:rsid w:val="3B354EAA"/>
    <w:rsid w:val="3B927DA6"/>
    <w:rsid w:val="3BC12604"/>
    <w:rsid w:val="3C0D04B9"/>
    <w:rsid w:val="3C36245C"/>
    <w:rsid w:val="3C5820D4"/>
    <w:rsid w:val="3C5D298C"/>
    <w:rsid w:val="3C60338E"/>
    <w:rsid w:val="3C840FCA"/>
    <w:rsid w:val="3CA90ECD"/>
    <w:rsid w:val="3CAE4D3F"/>
    <w:rsid w:val="3D3943C1"/>
    <w:rsid w:val="3DAC214A"/>
    <w:rsid w:val="3DBA0CE8"/>
    <w:rsid w:val="3DC926AD"/>
    <w:rsid w:val="3E291783"/>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2DF6B1E"/>
    <w:rsid w:val="434D63C0"/>
    <w:rsid w:val="434D745C"/>
    <w:rsid w:val="43B171B5"/>
    <w:rsid w:val="43E95815"/>
    <w:rsid w:val="44364CD0"/>
    <w:rsid w:val="44472C6C"/>
    <w:rsid w:val="448E1FA2"/>
    <w:rsid w:val="44A122DD"/>
    <w:rsid w:val="452B2802"/>
    <w:rsid w:val="457F7ACC"/>
    <w:rsid w:val="46C2238E"/>
    <w:rsid w:val="46FB6035"/>
    <w:rsid w:val="47AF3639"/>
    <w:rsid w:val="47B26F7D"/>
    <w:rsid w:val="47CE5D81"/>
    <w:rsid w:val="480F1E94"/>
    <w:rsid w:val="482F7F71"/>
    <w:rsid w:val="48AA70D7"/>
    <w:rsid w:val="48C0669E"/>
    <w:rsid w:val="48D611CF"/>
    <w:rsid w:val="48D85FE9"/>
    <w:rsid w:val="48DB6BC0"/>
    <w:rsid w:val="48E94455"/>
    <w:rsid w:val="49330904"/>
    <w:rsid w:val="49551A36"/>
    <w:rsid w:val="49793828"/>
    <w:rsid w:val="498E7945"/>
    <w:rsid w:val="49B42FE5"/>
    <w:rsid w:val="49B63AD6"/>
    <w:rsid w:val="49D41D01"/>
    <w:rsid w:val="49DA5AB1"/>
    <w:rsid w:val="49EB71E5"/>
    <w:rsid w:val="4B683C0F"/>
    <w:rsid w:val="4B815160"/>
    <w:rsid w:val="4BBB64D2"/>
    <w:rsid w:val="4BBC17AA"/>
    <w:rsid w:val="4C250F27"/>
    <w:rsid w:val="4C7235CD"/>
    <w:rsid w:val="4CFC11EA"/>
    <w:rsid w:val="4D0000F3"/>
    <w:rsid w:val="4D225F85"/>
    <w:rsid w:val="4D2E6FC3"/>
    <w:rsid w:val="4D3F1A54"/>
    <w:rsid w:val="4D491AF0"/>
    <w:rsid w:val="4D4A1B0C"/>
    <w:rsid w:val="4D73058E"/>
    <w:rsid w:val="4DAE1E85"/>
    <w:rsid w:val="4DC376D1"/>
    <w:rsid w:val="4E0F02B7"/>
    <w:rsid w:val="4E682070"/>
    <w:rsid w:val="4E914C57"/>
    <w:rsid w:val="4F413B09"/>
    <w:rsid w:val="4F792DCA"/>
    <w:rsid w:val="4F8F10A2"/>
    <w:rsid w:val="4F9D25EA"/>
    <w:rsid w:val="4FAA2E71"/>
    <w:rsid w:val="4FE70DC0"/>
    <w:rsid w:val="503B0D85"/>
    <w:rsid w:val="507A110B"/>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897C96"/>
    <w:rsid w:val="5490517C"/>
    <w:rsid w:val="54DF553D"/>
    <w:rsid w:val="556B4EDD"/>
    <w:rsid w:val="55DD08C4"/>
    <w:rsid w:val="560343FB"/>
    <w:rsid w:val="56466840"/>
    <w:rsid w:val="565C5E10"/>
    <w:rsid w:val="56605C0D"/>
    <w:rsid w:val="566C55F5"/>
    <w:rsid w:val="568C5B7C"/>
    <w:rsid w:val="5719718C"/>
    <w:rsid w:val="576F4F06"/>
    <w:rsid w:val="58780095"/>
    <w:rsid w:val="58F451C8"/>
    <w:rsid w:val="599704D6"/>
    <w:rsid w:val="5B1220CD"/>
    <w:rsid w:val="5B2F1CB7"/>
    <w:rsid w:val="5BF92FB6"/>
    <w:rsid w:val="5C207A49"/>
    <w:rsid w:val="5C451348"/>
    <w:rsid w:val="5C6E4D42"/>
    <w:rsid w:val="5C92423E"/>
    <w:rsid w:val="5D191F67"/>
    <w:rsid w:val="5D40525F"/>
    <w:rsid w:val="5D433C9B"/>
    <w:rsid w:val="5D5D061E"/>
    <w:rsid w:val="5DC934C7"/>
    <w:rsid w:val="5DE61BB4"/>
    <w:rsid w:val="5DE921E3"/>
    <w:rsid w:val="5E025F34"/>
    <w:rsid w:val="5E5B76CA"/>
    <w:rsid w:val="5E6957E0"/>
    <w:rsid w:val="5EAF49FF"/>
    <w:rsid w:val="5EB005A8"/>
    <w:rsid w:val="5ED457C4"/>
    <w:rsid w:val="5F36302E"/>
    <w:rsid w:val="5F5D4F94"/>
    <w:rsid w:val="600E2F0E"/>
    <w:rsid w:val="60A0128E"/>
    <w:rsid w:val="613D6F0C"/>
    <w:rsid w:val="61563EDB"/>
    <w:rsid w:val="61606110"/>
    <w:rsid w:val="616B2C59"/>
    <w:rsid w:val="618B5A4F"/>
    <w:rsid w:val="61C35ECC"/>
    <w:rsid w:val="6200624D"/>
    <w:rsid w:val="622412A8"/>
    <w:rsid w:val="624152A8"/>
    <w:rsid w:val="62717F29"/>
    <w:rsid w:val="62C959F4"/>
    <w:rsid w:val="638B00E1"/>
    <w:rsid w:val="6431737D"/>
    <w:rsid w:val="64491E06"/>
    <w:rsid w:val="64D301C4"/>
    <w:rsid w:val="65351D88"/>
    <w:rsid w:val="653D28FB"/>
    <w:rsid w:val="653F0AED"/>
    <w:rsid w:val="65483BE2"/>
    <w:rsid w:val="65BB2EF6"/>
    <w:rsid w:val="65D82B19"/>
    <w:rsid w:val="65E7565B"/>
    <w:rsid w:val="65F32E35"/>
    <w:rsid w:val="666E3111"/>
    <w:rsid w:val="667F07D7"/>
    <w:rsid w:val="66B90AD6"/>
    <w:rsid w:val="66F34A45"/>
    <w:rsid w:val="67096872"/>
    <w:rsid w:val="672166AA"/>
    <w:rsid w:val="673F51FA"/>
    <w:rsid w:val="681D4ECB"/>
    <w:rsid w:val="689478DF"/>
    <w:rsid w:val="689F687A"/>
    <w:rsid w:val="68A270ED"/>
    <w:rsid w:val="68F64B7B"/>
    <w:rsid w:val="69993FC4"/>
    <w:rsid w:val="69C433F1"/>
    <w:rsid w:val="6A163EBE"/>
    <w:rsid w:val="6A656DD9"/>
    <w:rsid w:val="6B0928F1"/>
    <w:rsid w:val="6B763559"/>
    <w:rsid w:val="6B7C24AE"/>
    <w:rsid w:val="6BA52303"/>
    <w:rsid w:val="6BD25C42"/>
    <w:rsid w:val="6BE3402B"/>
    <w:rsid w:val="6C7F08A6"/>
    <w:rsid w:val="6CBA018C"/>
    <w:rsid w:val="6CD67BD4"/>
    <w:rsid w:val="6D302D7C"/>
    <w:rsid w:val="6D392803"/>
    <w:rsid w:val="6D9E2518"/>
    <w:rsid w:val="6DBA7B46"/>
    <w:rsid w:val="6E77495A"/>
    <w:rsid w:val="6EAF635F"/>
    <w:rsid w:val="6EC800BC"/>
    <w:rsid w:val="6FB73BE7"/>
    <w:rsid w:val="6FC74F89"/>
    <w:rsid w:val="6FC82399"/>
    <w:rsid w:val="6FE93FCD"/>
    <w:rsid w:val="70120CD3"/>
    <w:rsid w:val="705B2C76"/>
    <w:rsid w:val="70B92DBC"/>
    <w:rsid w:val="70CB34AB"/>
    <w:rsid w:val="70F17567"/>
    <w:rsid w:val="710A4F1D"/>
    <w:rsid w:val="71685DAD"/>
    <w:rsid w:val="718E6436"/>
    <w:rsid w:val="725F012C"/>
    <w:rsid w:val="727A01CC"/>
    <w:rsid w:val="72FD5CB8"/>
    <w:rsid w:val="73452A90"/>
    <w:rsid w:val="73586019"/>
    <w:rsid w:val="736E6F41"/>
    <w:rsid w:val="73CC6079"/>
    <w:rsid w:val="73DF5EF1"/>
    <w:rsid w:val="74CF4AFC"/>
    <w:rsid w:val="751E4CA6"/>
    <w:rsid w:val="753A5E46"/>
    <w:rsid w:val="7550035E"/>
    <w:rsid w:val="758A45B5"/>
    <w:rsid w:val="759D5A90"/>
    <w:rsid w:val="75A1160C"/>
    <w:rsid w:val="75F0684F"/>
    <w:rsid w:val="75F56E68"/>
    <w:rsid w:val="768840AF"/>
    <w:rsid w:val="76A81B2B"/>
    <w:rsid w:val="76EA5E9C"/>
    <w:rsid w:val="771C3B7F"/>
    <w:rsid w:val="77570EBD"/>
    <w:rsid w:val="77F86EC8"/>
    <w:rsid w:val="781028F2"/>
    <w:rsid w:val="781E605F"/>
    <w:rsid w:val="788A1EBA"/>
    <w:rsid w:val="78C402EA"/>
    <w:rsid w:val="7924125A"/>
    <w:rsid w:val="79627EE8"/>
    <w:rsid w:val="797B7BE6"/>
    <w:rsid w:val="799E4500"/>
    <w:rsid w:val="79FB08F2"/>
    <w:rsid w:val="7A6D1745"/>
    <w:rsid w:val="7A8D0632"/>
    <w:rsid w:val="7A8E45BE"/>
    <w:rsid w:val="7B595A97"/>
    <w:rsid w:val="7BDD0B1E"/>
    <w:rsid w:val="7C366122"/>
    <w:rsid w:val="7C693CA2"/>
    <w:rsid w:val="7C7062B2"/>
    <w:rsid w:val="7CF51919"/>
    <w:rsid w:val="7D4E23DA"/>
    <w:rsid w:val="7E3452EF"/>
    <w:rsid w:val="7E6601F9"/>
    <w:rsid w:val="7EC42D4A"/>
    <w:rsid w:val="7EE97DD9"/>
    <w:rsid w:val="7EF02F3D"/>
    <w:rsid w:val="7F761695"/>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pPr>
    <w:rPr>
      <w:rFonts w:ascii="Calibri" w:hAnsi="Calibri" w:eastAsia="宋体" w:cs="Times New Roman"/>
    </w:rPr>
  </w:style>
  <w:style w:type="paragraph" w:styleId="4">
    <w:name w:val="Body Text 3"/>
    <w:basedOn w:val="1"/>
    <w:unhideWhenUsed/>
    <w:qFormat/>
    <w:uiPriority w:val="99"/>
    <w:pPr>
      <w:spacing w:after="120"/>
    </w:pPr>
    <w:rPr>
      <w:rFonts w:ascii="Calibri" w:hAnsi="Calibri"/>
      <w:sz w:val="16"/>
      <w:szCs w:val="16"/>
      <w:lang w:val="zh-CN"/>
    </w:rPr>
  </w:style>
  <w:style w:type="paragraph" w:styleId="5">
    <w:name w:val="Body Text"/>
    <w:basedOn w:val="1"/>
    <w:next w:val="1"/>
    <w:autoRedefine/>
    <w:qFormat/>
    <w:uiPriority w:val="0"/>
    <w:pPr>
      <w:spacing w:after="120"/>
    </w:pPr>
  </w:style>
  <w:style w:type="paragraph" w:styleId="6">
    <w:name w:val="Body Text Indent"/>
    <w:basedOn w:val="1"/>
    <w:semiHidden/>
    <w:unhideWhenUsed/>
    <w:qFormat/>
    <w:uiPriority w:val="99"/>
    <w:pPr>
      <w:spacing w:after="120"/>
      <w:ind w:left="420" w:leftChars="200"/>
    </w:pPr>
  </w:style>
  <w:style w:type="paragraph" w:styleId="7">
    <w:name w:val="footer"/>
    <w:basedOn w:val="1"/>
    <w:link w:val="18"/>
    <w:autoRedefine/>
    <w:unhideWhenUsed/>
    <w:qFormat/>
    <w:uiPriority w:val="99"/>
    <w:pPr>
      <w:tabs>
        <w:tab w:val="center" w:pos="4153"/>
        <w:tab w:val="right" w:pos="8306"/>
      </w:tabs>
      <w:snapToGrid w:val="0"/>
      <w:jc w:val="left"/>
    </w:pPr>
    <w:rPr>
      <w:sz w:val="18"/>
      <w:szCs w:val="18"/>
    </w:rPr>
  </w:style>
  <w:style w:type="paragraph" w:styleId="8">
    <w:name w:val="header"/>
    <w:basedOn w:val="1"/>
    <w:link w:val="1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Body Text First Indent"/>
    <w:basedOn w:val="5"/>
    <w:autoRedefine/>
    <w:unhideWhenUsed/>
    <w:qFormat/>
    <w:uiPriority w:val="99"/>
    <w:pPr>
      <w:ind w:firstLine="420" w:firstLineChars="100"/>
    </w:pPr>
    <w:rPr>
      <w:rFonts w:ascii="Times New Roman" w:hAnsi="Times New Roman"/>
      <w:kern w:val="0"/>
      <w:sz w:val="20"/>
      <w:szCs w:val="20"/>
    </w:rPr>
  </w:style>
  <w:style w:type="paragraph" w:styleId="11">
    <w:name w:val="Body Text First Indent 2"/>
    <w:basedOn w:val="6"/>
    <w:qFormat/>
    <w:uiPriority w:val="0"/>
    <w:pPr>
      <w:ind w:firstLine="420" w:firstLineChars="200"/>
    </w:pPr>
  </w:style>
  <w:style w:type="table" w:styleId="13">
    <w:name w:val="Table Grid"/>
    <w:basedOn w:val="12"/>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5">
    <w:name w:val="style4"/>
    <w:basedOn w:val="1"/>
    <w:next w:val="16"/>
    <w:autoRedefine/>
    <w:qFormat/>
    <w:uiPriority w:val="0"/>
    <w:pPr>
      <w:widowControl/>
      <w:spacing w:before="280" w:after="280"/>
    </w:pPr>
    <w:rPr>
      <w:rFonts w:ascii="宋体" w:hAnsi="Times New Roman" w:eastAsia="宋体" w:cs="Times New Roman"/>
      <w:sz w:val="18"/>
    </w:rPr>
  </w:style>
  <w:style w:type="paragraph" w:customStyle="1" w:styleId="16">
    <w:name w:val="2"/>
    <w:next w:val="1"/>
    <w:autoRedefine/>
    <w:qFormat/>
    <w:uiPriority w:val="0"/>
    <w:pPr>
      <w:widowControl w:val="0"/>
      <w:jc w:val="both"/>
    </w:pPr>
    <w:rPr>
      <w:rFonts w:ascii="Calibri" w:hAnsi="Calibri" w:eastAsia="宋体" w:cs="Times New Roman"/>
      <w:sz w:val="21"/>
      <w:szCs w:val="22"/>
      <w:lang w:val="en-US" w:eastAsia="zh-CN" w:bidi="ar-SA"/>
    </w:rPr>
  </w:style>
  <w:style w:type="character" w:customStyle="1" w:styleId="17">
    <w:name w:val="页眉 Char"/>
    <w:basedOn w:val="14"/>
    <w:link w:val="8"/>
    <w:autoRedefine/>
    <w:semiHidden/>
    <w:qFormat/>
    <w:uiPriority w:val="99"/>
    <w:rPr>
      <w:sz w:val="18"/>
      <w:szCs w:val="18"/>
    </w:rPr>
  </w:style>
  <w:style w:type="character" w:customStyle="1" w:styleId="18">
    <w:name w:val="页脚 Char"/>
    <w:basedOn w:val="14"/>
    <w:link w:val="7"/>
    <w:autoRedefine/>
    <w:qFormat/>
    <w:uiPriority w:val="99"/>
    <w:rPr>
      <w:sz w:val="18"/>
      <w:szCs w:val="18"/>
    </w:rPr>
  </w:style>
  <w:style w:type="paragraph" w:customStyle="1" w:styleId="19">
    <w:name w:val="正文1"/>
    <w:basedOn w:val="1"/>
    <w:autoRedefine/>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0">
    <w:name w:val="NormalCharacter"/>
    <w:autoRedefine/>
    <w:qFormat/>
    <w:uiPriority w:val="0"/>
  </w:style>
  <w:style w:type="paragraph" w:customStyle="1" w:styleId="21">
    <w:name w:val="Table Paragraph"/>
    <w:basedOn w:val="1"/>
    <w:autoRedefine/>
    <w:qFormat/>
    <w:uiPriority w:val="1"/>
    <w:rPr>
      <w:rFonts w:ascii="Times New Roman" w:hAnsi="Times New Roman" w:eastAsia="宋体" w:cs="Times New Roman"/>
      <w:sz w:val="24"/>
      <w:szCs w:val="20"/>
    </w:rPr>
  </w:style>
  <w:style w:type="paragraph" w:customStyle="1" w:styleId="22">
    <w:name w:val="表格 - 正文"/>
    <w:basedOn w:val="1"/>
    <w:qFormat/>
    <w:uiPriority w:val="0"/>
    <w:pPr>
      <w:snapToGrid w:val="0"/>
      <w:spacing w:before="120" w:after="120" w:line="360" w:lineRule="auto"/>
    </w:pPr>
    <w:rPr>
      <w:rFonts w:ascii="Times New Roman" w:hAnsi="Times New Roman" w:eastAsia="宋体" w:cs="宋体"/>
      <w:szCs w:val="20"/>
    </w:rPr>
  </w:style>
  <w:style w:type="paragraph" w:styleId="23">
    <w:name w:val="List Paragraph"/>
    <w:basedOn w:val="1"/>
    <w:autoRedefine/>
    <w:qFormat/>
    <w:uiPriority w:val="34"/>
    <w:pPr>
      <w:ind w:firstLine="420" w:firstLineChars="200"/>
    </w:pPr>
  </w:style>
  <w:style w:type="character" w:customStyle="1" w:styleId="24">
    <w:name w:val="font11"/>
    <w:basedOn w:val="14"/>
    <w:qFormat/>
    <w:uiPriority w:val="0"/>
    <w:rPr>
      <w:rFonts w:hint="eastAsia" w:ascii="宋体" w:hAnsi="宋体" w:eastAsia="宋体" w:cs="宋体"/>
      <w:color w:val="000000"/>
      <w:sz w:val="21"/>
      <w:szCs w:val="21"/>
      <w:u w:val="none"/>
    </w:rPr>
  </w:style>
  <w:style w:type="character" w:customStyle="1" w:styleId="25">
    <w:name w:val="font21"/>
    <w:basedOn w:val="14"/>
    <w:qFormat/>
    <w:uiPriority w:val="0"/>
    <w:rPr>
      <w:rFonts w:hint="eastAsia" w:ascii="宋体" w:hAnsi="宋体" w:eastAsia="宋体" w:cs="宋体"/>
      <w:strike/>
      <w:color w:val="000000"/>
      <w:sz w:val="21"/>
      <w:szCs w:val="21"/>
    </w:rPr>
  </w:style>
  <w:style w:type="paragraph" w:customStyle="1" w:styleId="26">
    <w:name w:val="_Style 13"/>
    <w:qFormat/>
    <w:uiPriority w:val="0"/>
    <w:pPr>
      <w:spacing w:before="120" w:after="120" w:line="288" w:lineRule="auto"/>
      <w:ind w:left="0"/>
      <w:jc w:val="left"/>
    </w:pPr>
    <w:rPr>
      <w:rFonts w:ascii="Arial" w:hAnsi="Arial" w:eastAsia="等线" w:cs="Arial"/>
      <w:sz w:val="22"/>
      <w:szCs w:val="22"/>
    </w:rPr>
  </w:style>
  <w:style w:type="paragraph" w:customStyle="1" w:styleId="27">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1729</Words>
  <Characters>1948</Characters>
  <Lines>6</Lines>
  <Paragraphs>1</Paragraphs>
  <TotalTime>1</TotalTime>
  <ScaleCrop>false</ScaleCrop>
  <LinksUpToDate>false</LinksUpToDate>
  <CharactersWithSpaces>2051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罗昊</cp:lastModifiedBy>
  <dcterms:modified xsi:type="dcterms:W3CDTF">2026-09-10T07:45:59Z</dcterms:modified>
  <cp:revision>1082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236EE8110CB74B6D96A171B8B9CB89FA</vt:lpwstr>
  </property>
  <property fmtid="{D5CDD505-2E9C-101B-9397-08002B2CF9AE}" pid="4" name="commondata">
    <vt:lpwstr>eyJoZGlkIjoiNzljOTE0MDRlMmUyY2M3ZGQ4Nzk0OWRiOWI1OGE3ZmYifQ==</vt:lpwstr>
  </property>
  <property fmtid="{D5CDD505-2E9C-101B-9397-08002B2CF9AE}" pid="5" name="KSOTemplateDocerSaveRecord">
    <vt:lpwstr>eyJoZGlkIjoiODMwZWE0MjdkNmUyYzJlNjJmNTM0ODJjOTJiNjk2Y2IiLCJ1c2VySWQiOiIxODc5MTI0Mjc1In0=</vt:lpwstr>
  </property>
</Properties>
</file>